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EEE0B" w14:textId="7BFB9C79" w:rsidR="004935F7" w:rsidRPr="008E0013" w:rsidRDefault="004935F7" w:rsidP="007512B1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8E0013">
        <w:rPr>
          <w:rFonts w:ascii="Arial" w:hAnsi="Arial" w:cs="Arial"/>
          <w:b/>
          <w:sz w:val="20"/>
          <w:szCs w:val="20"/>
        </w:rPr>
        <w:t xml:space="preserve">Response to Comments from Draft Report Version (as Received </w:t>
      </w:r>
      <w:r w:rsidR="004B4CC0">
        <w:rPr>
          <w:rFonts w:ascii="Arial" w:hAnsi="Arial" w:cs="Arial"/>
          <w:b/>
          <w:sz w:val="20"/>
          <w:szCs w:val="20"/>
        </w:rPr>
        <w:t>January, 2016</w:t>
      </w:r>
      <w:r w:rsidR="008E001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4950"/>
        <w:gridCol w:w="6120"/>
      </w:tblGrid>
      <w:tr w:rsidR="007E517D" w:rsidRPr="007512B1" w14:paraId="68E910B0" w14:textId="77777777" w:rsidTr="007512B1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14:paraId="655EFED3" w14:textId="77777777" w:rsidR="007E517D" w:rsidRPr="007512B1" w:rsidRDefault="007E517D" w:rsidP="007512B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2B1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14:paraId="0862D4E6" w14:textId="77777777" w:rsidR="007E517D" w:rsidRPr="007512B1" w:rsidRDefault="007E517D" w:rsidP="007512B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2B1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4950" w:type="dxa"/>
            <w:shd w:val="clear" w:color="auto" w:fill="73C6A1" w:themeFill="accent1"/>
            <w:vAlign w:val="center"/>
          </w:tcPr>
          <w:p w14:paraId="528E32C7" w14:textId="77777777" w:rsidR="007E517D" w:rsidRPr="007512B1" w:rsidRDefault="007E517D" w:rsidP="007512B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2B1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6120" w:type="dxa"/>
            <w:shd w:val="clear" w:color="auto" w:fill="73C6A1" w:themeFill="accent1"/>
            <w:vAlign w:val="center"/>
          </w:tcPr>
          <w:p w14:paraId="343ED11D" w14:textId="77777777" w:rsidR="007E517D" w:rsidRPr="007512B1" w:rsidRDefault="007E517D" w:rsidP="007512B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2B1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C25DB8" w:rsidRPr="007512B1" w14:paraId="7DBDFB6D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503210E5" w14:textId="77777777" w:rsidR="00C25DB8" w:rsidRPr="007512B1" w:rsidRDefault="00C25DB8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2BBEFCAE" w14:textId="77777777" w:rsidR="00C25DB8" w:rsidRPr="007512B1" w:rsidRDefault="00C25DB8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950" w:type="dxa"/>
            <w:vAlign w:val="center"/>
          </w:tcPr>
          <w:p w14:paraId="58F070BB" w14:textId="3EE210EB" w:rsidR="00C25DB8" w:rsidRPr="007512B1" w:rsidRDefault="003537EE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What does this mean; briefly elaborate why this minimizes field parameter variability.</w:t>
            </w:r>
          </w:p>
        </w:tc>
        <w:tc>
          <w:tcPr>
            <w:tcW w:w="6120" w:type="dxa"/>
            <w:vAlign w:val="center"/>
          </w:tcPr>
          <w:p w14:paraId="6511FA58" w14:textId="24A85E41" w:rsidR="00C25DB8" w:rsidRPr="007512B1" w:rsidRDefault="00C25DB8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 xml:space="preserve">A description of the benefits of using flow-through cells </w:t>
            </w:r>
            <w:r w:rsidR="00036B62" w:rsidRPr="007512B1">
              <w:rPr>
                <w:rFonts w:ascii="Arial" w:hAnsi="Arial" w:cs="Arial"/>
                <w:sz w:val="18"/>
                <w:szCs w:val="18"/>
              </w:rPr>
              <w:t xml:space="preserve">for field parameter collection </w:t>
            </w:r>
            <w:r w:rsidRPr="007512B1">
              <w:rPr>
                <w:rFonts w:ascii="Arial" w:hAnsi="Arial" w:cs="Arial"/>
                <w:sz w:val="18"/>
                <w:szCs w:val="18"/>
              </w:rPr>
              <w:t>has been added to the text</w:t>
            </w:r>
            <w:r w:rsidR="00036B62" w:rsidRPr="007512B1">
              <w:rPr>
                <w:rFonts w:ascii="Arial" w:hAnsi="Arial" w:cs="Arial"/>
                <w:sz w:val="18"/>
                <w:szCs w:val="18"/>
              </w:rPr>
              <w:t xml:space="preserve"> (Section 2.4)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C25DB8" w:rsidRPr="007512B1" w14:paraId="70172C32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7C636F4B" w14:textId="5ED895EC" w:rsidR="00C25DB8" w:rsidRPr="007512B1" w:rsidRDefault="000300CD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14:paraId="0DB18344" w14:textId="35FC6AEF" w:rsidR="00C25DB8" w:rsidRPr="007512B1" w:rsidRDefault="000300CD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950" w:type="dxa"/>
            <w:vAlign w:val="center"/>
          </w:tcPr>
          <w:p w14:paraId="5A16CB94" w14:textId="77777777" w:rsidR="003537EE" w:rsidRPr="007512B1" w:rsidRDefault="003537EE" w:rsidP="007512B1">
            <w:pPr>
              <w:pStyle w:val="Com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GENERAL COMMENT FOR SECTION:</w:t>
            </w:r>
          </w:p>
          <w:p w14:paraId="378CC09C" w14:textId="77777777" w:rsidR="003537EE" w:rsidRPr="007512B1" w:rsidRDefault="003537EE" w:rsidP="007512B1">
            <w:pPr>
              <w:pStyle w:val="Com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 xml:space="preserve">Please include a bit more specifics when discussing the results; specifically, please identify the number of stations for each parameter where an exceedance has occurred in each area (i.e. avoids the ambiguity of stating “one or more”). </w:t>
            </w:r>
          </w:p>
          <w:p w14:paraId="6E057448" w14:textId="20A0D452" w:rsidR="00C25DB8" w:rsidRPr="007512B1" w:rsidRDefault="003537EE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You could also include the specific stations where exceedance has occurred; although this is not absolutely necessary.</w:t>
            </w:r>
          </w:p>
        </w:tc>
        <w:tc>
          <w:tcPr>
            <w:tcW w:w="6120" w:type="dxa"/>
            <w:vAlign w:val="center"/>
          </w:tcPr>
          <w:p w14:paraId="624AF147" w14:textId="000922F3" w:rsidR="00C25DB8" w:rsidRPr="007512B1" w:rsidRDefault="00FA07F1" w:rsidP="007512B1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An additional table has been added to the report summarizing CCME FAL guideline exceedances (refer to Table 3-3). The text in Section 3.2 has also been updated to provide more detail concerning the number of exceedances reported within each area/site.</w:t>
            </w:r>
          </w:p>
        </w:tc>
      </w:tr>
      <w:tr w:rsidR="00C25DB8" w:rsidRPr="007512B1" w14:paraId="242F3B37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44078096" w14:textId="7B7028B3" w:rsidR="00C25DB8" w:rsidRPr="007512B1" w:rsidRDefault="00251527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14:paraId="6EDCCF3C" w14:textId="4C12771B" w:rsidR="00C25DB8" w:rsidRPr="007512B1" w:rsidRDefault="00251527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950" w:type="dxa"/>
            <w:vAlign w:val="center"/>
          </w:tcPr>
          <w:p w14:paraId="28071B59" w14:textId="4ABC3C22" w:rsidR="00C25DB8" w:rsidRPr="007512B1" w:rsidRDefault="008D28D1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What was this condition and why did it prevent repair?</w:t>
            </w:r>
          </w:p>
        </w:tc>
        <w:tc>
          <w:tcPr>
            <w:tcW w:w="6120" w:type="dxa"/>
            <w:vAlign w:val="center"/>
          </w:tcPr>
          <w:p w14:paraId="33B0E433" w14:textId="667E03FA" w:rsidR="00C25DB8" w:rsidRPr="007512B1" w:rsidRDefault="008D28D1" w:rsidP="007512B1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The t</w:t>
            </w:r>
            <w:r w:rsidR="003B79D1" w:rsidRPr="007512B1">
              <w:rPr>
                <w:rFonts w:ascii="Arial" w:hAnsi="Arial" w:cs="Arial"/>
                <w:sz w:val="18"/>
                <w:szCs w:val="18"/>
              </w:rPr>
              <w:t xml:space="preserve">ext in Section 3.2.6 has been updated. Well repairs could not be completed at site MW09-01 due to a </w:t>
            </w:r>
            <w:proofErr w:type="spellStart"/>
            <w:r w:rsidRPr="007512B1">
              <w:rPr>
                <w:rFonts w:ascii="Arial" w:hAnsi="Arial" w:cs="Arial"/>
                <w:sz w:val="18"/>
                <w:szCs w:val="18"/>
              </w:rPr>
              <w:t>mis</w:t>
            </w:r>
            <w:proofErr w:type="spellEnd"/>
            <w:r w:rsidRPr="007512B1">
              <w:rPr>
                <w:rFonts w:ascii="Arial" w:hAnsi="Arial" w:cs="Arial"/>
                <w:sz w:val="18"/>
                <w:szCs w:val="18"/>
              </w:rPr>
              <w:t xml:space="preserve">-calculation </w:t>
            </w:r>
            <w:r w:rsidR="003B79D1" w:rsidRPr="007512B1">
              <w:rPr>
                <w:rFonts w:ascii="Arial" w:hAnsi="Arial" w:cs="Arial"/>
                <w:sz w:val="18"/>
                <w:szCs w:val="18"/>
              </w:rPr>
              <w:t xml:space="preserve">as to the required materials (diameter of PVC). </w:t>
            </w:r>
          </w:p>
        </w:tc>
      </w:tr>
      <w:tr w:rsidR="00C25DB8" w:rsidRPr="007512B1" w14:paraId="141D7BF1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42FF79C8" w14:textId="05F258A5" w:rsidR="00C25DB8" w:rsidRPr="007512B1" w:rsidRDefault="00251527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14:paraId="5DEFCE76" w14:textId="0670BA65" w:rsidR="00C25DB8" w:rsidRPr="007512B1" w:rsidRDefault="008D28D1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950" w:type="dxa"/>
            <w:vAlign w:val="center"/>
          </w:tcPr>
          <w:p w14:paraId="53D078C8" w14:textId="2A5D27AB" w:rsidR="00C25DB8" w:rsidRPr="007512B1" w:rsidRDefault="008D28D1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Where the measured values so small that even a small (practical) difference may be reported as being largely different in the RPD analysis? If so please indicate.</w:t>
            </w:r>
          </w:p>
        </w:tc>
        <w:tc>
          <w:tcPr>
            <w:tcW w:w="6120" w:type="dxa"/>
            <w:vAlign w:val="center"/>
          </w:tcPr>
          <w:p w14:paraId="7FB66A6B" w14:textId="22D6FDAB" w:rsidR="00C25DB8" w:rsidRPr="007512B1" w:rsidRDefault="00153987" w:rsidP="007512B1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 xml:space="preserve">After review the information listed in Section 3.3.2.1 was found to be correct. </w:t>
            </w:r>
            <w:r w:rsidR="00251527" w:rsidRPr="007512B1">
              <w:rPr>
                <w:rFonts w:ascii="Arial" w:hAnsi="Arial" w:cs="Arial"/>
                <w:sz w:val="18"/>
                <w:szCs w:val="18"/>
              </w:rPr>
              <w:t xml:space="preserve">Sulfate concentrations in 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251527" w:rsidRPr="007512B1">
              <w:rPr>
                <w:rFonts w:ascii="Arial" w:hAnsi="Arial" w:cs="Arial"/>
                <w:sz w:val="18"/>
                <w:szCs w:val="18"/>
              </w:rPr>
              <w:t xml:space="preserve">duplicate and duplicate pair were 5.34 and 3.07 mg/L. Although 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these </w:t>
            </w:r>
            <w:r w:rsidR="00251527" w:rsidRPr="007512B1">
              <w:rPr>
                <w:rFonts w:ascii="Arial" w:hAnsi="Arial" w:cs="Arial"/>
                <w:sz w:val="18"/>
                <w:szCs w:val="18"/>
              </w:rPr>
              <w:t xml:space="preserve">values are </w:t>
            </w:r>
            <w:r w:rsidRPr="007512B1">
              <w:rPr>
                <w:rFonts w:ascii="Arial" w:hAnsi="Arial" w:cs="Arial"/>
                <w:sz w:val="18"/>
                <w:szCs w:val="18"/>
              </w:rPr>
              <w:t>considered relatively</w:t>
            </w:r>
            <w:r w:rsidR="00251527" w:rsidRPr="007512B1">
              <w:rPr>
                <w:rFonts w:ascii="Arial" w:hAnsi="Arial" w:cs="Arial"/>
                <w:sz w:val="18"/>
                <w:szCs w:val="18"/>
              </w:rPr>
              <w:t xml:space="preserve"> low for the program</w:t>
            </w:r>
            <w:r w:rsidRPr="007512B1">
              <w:rPr>
                <w:rFonts w:ascii="Arial" w:hAnsi="Arial" w:cs="Arial"/>
                <w:sz w:val="18"/>
                <w:szCs w:val="18"/>
              </w:rPr>
              <w:t>,</w:t>
            </w:r>
            <w:r w:rsidR="00251527" w:rsidRPr="007512B1">
              <w:rPr>
                <w:rFonts w:ascii="Arial" w:hAnsi="Arial" w:cs="Arial"/>
                <w:sz w:val="18"/>
                <w:szCs w:val="18"/>
              </w:rPr>
              <w:t xml:space="preserve"> concentrations are well </w:t>
            </w:r>
            <w:r w:rsidR="008D28D1" w:rsidRPr="007512B1">
              <w:rPr>
                <w:rFonts w:ascii="Arial" w:hAnsi="Arial" w:cs="Arial"/>
                <w:sz w:val="18"/>
                <w:szCs w:val="18"/>
              </w:rPr>
              <w:t xml:space="preserve">above </w:t>
            </w:r>
            <w:r w:rsidR="00251527" w:rsidRPr="007512B1">
              <w:rPr>
                <w:rFonts w:ascii="Arial" w:hAnsi="Arial" w:cs="Arial"/>
                <w:sz w:val="18"/>
                <w:szCs w:val="18"/>
              </w:rPr>
              <w:t xml:space="preserve">the RDL (0.03 mg/L). 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RPD values for this pair are expected to be within the acceptable range of variability (&lt;20%). </w:t>
            </w:r>
          </w:p>
        </w:tc>
      </w:tr>
      <w:tr w:rsidR="00C25DB8" w:rsidRPr="007512B1" w14:paraId="6EB1B5DC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4A2883C6" w14:textId="636B6CAC" w:rsidR="00C25DB8" w:rsidRPr="007512B1" w:rsidRDefault="007211AB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14:paraId="0F5417C0" w14:textId="108FE184" w:rsidR="00C25DB8" w:rsidRPr="007512B1" w:rsidRDefault="007211AB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950" w:type="dxa"/>
            <w:vAlign w:val="center"/>
          </w:tcPr>
          <w:p w14:paraId="281FEBE8" w14:textId="38564511" w:rsidR="00C25DB8" w:rsidRPr="007512B1" w:rsidRDefault="008D28D1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Were samples collected below the 50 NTU (i.e. as indicated in Section 3.2.4)?</w:t>
            </w:r>
          </w:p>
        </w:tc>
        <w:tc>
          <w:tcPr>
            <w:tcW w:w="6120" w:type="dxa"/>
            <w:vAlign w:val="center"/>
          </w:tcPr>
          <w:p w14:paraId="6BA9DDDF" w14:textId="3161DC47" w:rsidR="00C25DB8" w:rsidRPr="007512B1" w:rsidRDefault="007211AB" w:rsidP="007512B1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Groundwater at this site w</w:t>
            </w:r>
            <w:r w:rsidR="00115132" w:rsidRPr="007512B1">
              <w:rPr>
                <w:rFonts w:ascii="Arial" w:hAnsi="Arial" w:cs="Arial"/>
                <w:sz w:val="18"/>
                <w:szCs w:val="18"/>
              </w:rPr>
              <w:t>as relatively clear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 during the time of sampling (2.38</w:t>
            </w:r>
            <w:r w:rsidR="00115132" w:rsidRPr="007512B1">
              <w:rPr>
                <w:rFonts w:ascii="Arial" w:hAnsi="Arial" w:cs="Arial"/>
                <w:sz w:val="18"/>
                <w:szCs w:val="18"/>
              </w:rPr>
              <w:t xml:space="preserve"> NTU)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15132" w:rsidRPr="007512B1">
              <w:rPr>
                <w:rFonts w:ascii="Arial" w:hAnsi="Arial" w:cs="Arial"/>
                <w:sz w:val="18"/>
                <w:szCs w:val="18"/>
              </w:rPr>
              <w:t xml:space="preserve">Field notes indicate that Pony Creek surface water was significantly more turbid compared to previous site visits, likely due to the placer mining operation directly upstream. Field notes also indicate a variation in sample turbidity during the purging process. Surface water turbidity and purge </w:t>
            </w:r>
            <w:r w:rsidR="00FA07F1" w:rsidRPr="007512B1">
              <w:rPr>
                <w:rFonts w:ascii="Arial" w:hAnsi="Arial" w:cs="Arial"/>
                <w:sz w:val="18"/>
                <w:szCs w:val="18"/>
              </w:rPr>
              <w:t xml:space="preserve">water variability </w:t>
            </w:r>
            <w:r w:rsidR="008D28D1" w:rsidRPr="007512B1">
              <w:rPr>
                <w:rFonts w:ascii="Arial" w:hAnsi="Arial" w:cs="Arial"/>
                <w:sz w:val="18"/>
                <w:szCs w:val="18"/>
              </w:rPr>
              <w:t xml:space="preserve">may have </w:t>
            </w:r>
            <w:r w:rsidR="00115132" w:rsidRPr="007512B1">
              <w:rPr>
                <w:rFonts w:ascii="Arial" w:hAnsi="Arial" w:cs="Arial"/>
                <w:sz w:val="18"/>
                <w:szCs w:val="18"/>
              </w:rPr>
              <w:t>contribute</w:t>
            </w:r>
            <w:r w:rsidR="00FA07F1" w:rsidRPr="007512B1">
              <w:rPr>
                <w:rFonts w:ascii="Arial" w:hAnsi="Arial" w:cs="Arial"/>
                <w:sz w:val="18"/>
                <w:szCs w:val="18"/>
              </w:rPr>
              <w:t xml:space="preserve">d to </w:t>
            </w:r>
            <w:r w:rsidR="00115132" w:rsidRPr="007512B1">
              <w:rPr>
                <w:rFonts w:ascii="Arial" w:hAnsi="Arial" w:cs="Arial"/>
                <w:sz w:val="18"/>
                <w:szCs w:val="18"/>
              </w:rPr>
              <w:t>RPD variability between t</w:t>
            </w:r>
            <w:r w:rsidR="00FA07F1" w:rsidRPr="007512B1">
              <w:rPr>
                <w:rFonts w:ascii="Arial" w:hAnsi="Arial" w:cs="Arial"/>
                <w:sz w:val="18"/>
                <w:szCs w:val="18"/>
              </w:rPr>
              <w:t>he duplicate and duplicate pair</w:t>
            </w:r>
            <w:r w:rsidR="008D28D1" w:rsidRPr="007512B1">
              <w:rPr>
                <w:rFonts w:ascii="Arial" w:hAnsi="Arial" w:cs="Arial"/>
                <w:sz w:val="18"/>
                <w:szCs w:val="18"/>
              </w:rPr>
              <w:t>, despite sample turbidity being within acceptable limits</w:t>
            </w:r>
            <w:r w:rsidR="00115132" w:rsidRPr="007512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5DB8" w:rsidRPr="007512B1" w14:paraId="0F511770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329AB0E2" w14:textId="2B34E637" w:rsidR="00C25DB8" w:rsidRPr="007512B1" w:rsidRDefault="007211AB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7380A098" w14:textId="7ACB46E3" w:rsidR="00C25DB8" w:rsidRPr="007512B1" w:rsidRDefault="007211AB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950" w:type="dxa"/>
            <w:vAlign w:val="center"/>
          </w:tcPr>
          <w:p w14:paraId="289DE6E6" w14:textId="7BA0306C" w:rsidR="00C25DB8" w:rsidRPr="007512B1" w:rsidRDefault="008D28D1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Where the measured values so small that even a small (practical) difference may be reported as being largely different in the RPD analysis? If so please indicate.</w:t>
            </w:r>
          </w:p>
        </w:tc>
        <w:tc>
          <w:tcPr>
            <w:tcW w:w="6120" w:type="dxa"/>
            <w:vAlign w:val="center"/>
          </w:tcPr>
          <w:p w14:paraId="4CAFCCD0" w14:textId="5B011AD7" w:rsidR="00C25DB8" w:rsidRPr="007512B1" w:rsidRDefault="007739D8" w:rsidP="007512B1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 xml:space="preserve">TKN and dissolved zinc concentrations </w:t>
            </w:r>
            <w:r w:rsidR="004B2384" w:rsidRPr="007512B1">
              <w:rPr>
                <w:rFonts w:ascii="Arial" w:hAnsi="Arial" w:cs="Arial"/>
                <w:sz w:val="18"/>
                <w:szCs w:val="18"/>
              </w:rPr>
              <w:t xml:space="preserve">were </w:t>
            </w:r>
            <w:r w:rsidR="00170234" w:rsidRPr="007512B1">
              <w:rPr>
                <w:rFonts w:ascii="Arial" w:hAnsi="Arial" w:cs="Arial"/>
                <w:sz w:val="18"/>
                <w:szCs w:val="18"/>
              </w:rPr>
              <w:t xml:space="preserve">high enough above the detection limits that the 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RPD values </w:t>
            </w:r>
            <w:r w:rsidR="00170234" w:rsidRPr="007512B1">
              <w:rPr>
                <w:rFonts w:ascii="Arial" w:hAnsi="Arial" w:cs="Arial"/>
                <w:sz w:val="18"/>
                <w:szCs w:val="18"/>
              </w:rPr>
              <w:t xml:space="preserve">were considered valid for these samples. </w:t>
            </w:r>
          </w:p>
        </w:tc>
      </w:tr>
      <w:tr w:rsidR="00C25DB8" w:rsidRPr="007512B1" w14:paraId="5DE0C2CD" w14:textId="77777777" w:rsidTr="007512B1">
        <w:trPr>
          <w:cantSplit/>
          <w:jc w:val="center"/>
        </w:trPr>
        <w:tc>
          <w:tcPr>
            <w:tcW w:w="1170" w:type="dxa"/>
            <w:vAlign w:val="center"/>
          </w:tcPr>
          <w:p w14:paraId="34FCEF4B" w14:textId="6C88383A" w:rsidR="00C25DB8" w:rsidRPr="007512B1" w:rsidRDefault="00CB7976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6674CE49" w14:textId="26884B9C" w:rsidR="00C25DB8" w:rsidRPr="007512B1" w:rsidRDefault="008D28D1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950" w:type="dxa"/>
            <w:vAlign w:val="center"/>
          </w:tcPr>
          <w:p w14:paraId="2A1AAFA5" w14:textId="6C21B3A1" w:rsidR="00C25DB8" w:rsidRPr="007512B1" w:rsidRDefault="008D28D1" w:rsidP="007512B1">
            <w:pPr>
              <w:pStyle w:val="Com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Please include brief discussion of this scope/purpose in the introduction and/or methods section.</w:t>
            </w:r>
          </w:p>
        </w:tc>
        <w:tc>
          <w:tcPr>
            <w:tcW w:w="6120" w:type="dxa"/>
            <w:vAlign w:val="center"/>
          </w:tcPr>
          <w:p w14:paraId="5CD120B6" w14:textId="35BB8CE5" w:rsidR="00C25DB8" w:rsidRPr="007512B1" w:rsidRDefault="003F5C2B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We have provided a d</w:t>
            </w:r>
            <w:r w:rsidR="00CB7976" w:rsidRPr="007512B1">
              <w:rPr>
                <w:rFonts w:ascii="Arial" w:hAnsi="Arial" w:cs="Arial"/>
                <w:sz w:val="18"/>
                <w:szCs w:val="18"/>
              </w:rPr>
              <w:t xml:space="preserve">iscussion of the scope and purpose of filtered alkalinity testing is provided in </w:t>
            </w:r>
            <w:r w:rsidRPr="007512B1">
              <w:rPr>
                <w:rFonts w:ascii="Arial" w:hAnsi="Arial" w:cs="Arial"/>
                <w:sz w:val="18"/>
                <w:szCs w:val="18"/>
              </w:rPr>
              <w:t xml:space="preserve">the methods </w:t>
            </w:r>
            <w:r w:rsidR="00CB7976" w:rsidRPr="007512B1">
              <w:rPr>
                <w:rFonts w:ascii="Arial" w:hAnsi="Arial" w:cs="Arial"/>
                <w:sz w:val="18"/>
                <w:szCs w:val="18"/>
              </w:rPr>
              <w:t xml:space="preserve">Section 2.5. </w:t>
            </w:r>
          </w:p>
        </w:tc>
      </w:tr>
      <w:tr w:rsidR="00C25DB8" w:rsidRPr="007512B1" w14:paraId="40198557" w14:textId="77777777" w:rsidTr="007512B1">
        <w:trPr>
          <w:cantSplit/>
          <w:trHeight w:val="465"/>
          <w:jc w:val="center"/>
        </w:trPr>
        <w:tc>
          <w:tcPr>
            <w:tcW w:w="1170" w:type="dxa"/>
            <w:vAlign w:val="center"/>
          </w:tcPr>
          <w:p w14:paraId="129E26C4" w14:textId="0E51AC9F" w:rsidR="00C25DB8" w:rsidRPr="007512B1" w:rsidRDefault="00CB7976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14:paraId="5841DD15" w14:textId="16B3C9A2" w:rsidR="00C25DB8" w:rsidRPr="007512B1" w:rsidRDefault="003F5C2B" w:rsidP="007512B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950" w:type="dxa"/>
            <w:vAlign w:val="center"/>
          </w:tcPr>
          <w:p w14:paraId="71CB4B16" w14:textId="1320CB3E" w:rsidR="00C25DB8" w:rsidRPr="007512B1" w:rsidRDefault="008D28D1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Include recommendation for not collecting filtered alkalinity.</w:t>
            </w:r>
          </w:p>
        </w:tc>
        <w:tc>
          <w:tcPr>
            <w:tcW w:w="6120" w:type="dxa"/>
            <w:vAlign w:val="center"/>
          </w:tcPr>
          <w:p w14:paraId="1F0C90BE" w14:textId="5491F2B3" w:rsidR="00C25DB8" w:rsidRPr="007512B1" w:rsidRDefault="008858FA" w:rsidP="007512B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12B1">
              <w:rPr>
                <w:rFonts w:ascii="Arial" w:hAnsi="Arial" w:cs="Arial"/>
                <w:sz w:val="18"/>
                <w:szCs w:val="18"/>
              </w:rPr>
              <w:t>Recommendations have been updated. A recommendation to discontinue the collection of filtered alkalinity samples at the Mount Nansen site has been added to the text.</w:t>
            </w:r>
          </w:p>
        </w:tc>
      </w:tr>
    </w:tbl>
    <w:p w14:paraId="2221C3FB" w14:textId="77777777" w:rsidR="00E304F0" w:rsidRPr="007512B1" w:rsidRDefault="00E304F0" w:rsidP="007512B1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sectPr w:rsidR="00E304F0" w:rsidRPr="007512B1" w:rsidSect="004935F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A3BE8" w14:textId="77777777" w:rsidR="0040407C" w:rsidRDefault="0040407C" w:rsidP="004935F7">
      <w:pPr>
        <w:spacing w:after="0" w:line="240" w:lineRule="auto"/>
      </w:pPr>
      <w:r>
        <w:separator/>
      </w:r>
    </w:p>
  </w:endnote>
  <w:endnote w:type="continuationSeparator" w:id="0">
    <w:p w14:paraId="50C83D54" w14:textId="77777777" w:rsidR="0040407C" w:rsidRDefault="0040407C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18D3" w14:textId="77777777" w:rsidR="0040407C" w:rsidRDefault="0040407C" w:rsidP="004935F7">
      <w:pPr>
        <w:spacing w:after="0" w:line="240" w:lineRule="auto"/>
      </w:pPr>
      <w:r>
        <w:separator/>
      </w:r>
    </w:p>
  </w:footnote>
  <w:footnote w:type="continuationSeparator" w:id="0">
    <w:p w14:paraId="3FA2CC42" w14:textId="77777777" w:rsidR="0040407C" w:rsidRDefault="0040407C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7E18" w14:textId="77777777"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14:paraId="12FA2827" w14:textId="78C59F58" w:rsidR="008F477E" w:rsidRPr="008F477E" w:rsidRDefault="007512B1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7512B1">
      <w:rPr>
        <w:rFonts w:ascii="Arial" w:hAnsi="Arial" w:cs="Arial"/>
        <w:sz w:val="16"/>
      </w:rPr>
      <w:t>Mount Nansen September 2015 Groundwater Monitoring</w:t>
    </w:r>
    <w:r w:rsidR="008F477E" w:rsidRPr="008F477E">
      <w:rPr>
        <w:rFonts w:ascii="Arial" w:hAnsi="Arial" w:cs="Arial"/>
        <w:sz w:val="16"/>
      </w:rPr>
      <w:tab/>
      <w:t xml:space="preserve">- </w:t>
    </w:r>
    <w:r w:rsidR="008F477E" w:rsidRPr="008F477E">
      <w:rPr>
        <w:rFonts w:ascii="Arial" w:hAnsi="Arial" w:cs="Arial"/>
        <w:sz w:val="16"/>
      </w:rPr>
      <w:fldChar w:fldCharType="begin"/>
    </w:r>
    <w:r w:rsidR="008F477E" w:rsidRPr="008F477E">
      <w:rPr>
        <w:rFonts w:ascii="Arial" w:hAnsi="Arial" w:cs="Arial"/>
        <w:sz w:val="16"/>
      </w:rPr>
      <w:instrText xml:space="preserve"> PAGE </w:instrText>
    </w:r>
    <w:r w:rsidR="008F477E" w:rsidRPr="008F477E">
      <w:rPr>
        <w:rFonts w:ascii="Arial" w:hAnsi="Arial" w:cs="Arial"/>
        <w:sz w:val="16"/>
      </w:rPr>
      <w:fldChar w:fldCharType="separate"/>
    </w:r>
    <w:r w:rsidR="00B52B39">
      <w:rPr>
        <w:rFonts w:ascii="Arial" w:hAnsi="Arial" w:cs="Arial"/>
        <w:noProof/>
        <w:sz w:val="16"/>
      </w:rPr>
      <w:t>1</w:t>
    </w:r>
    <w:r w:rsidR="008F477E" w:rsidRPr="008F477E">
      <w:rPr>
        <w:rFonts w:ascii="Arial" w:hAnsi="Arial" w:cs="Arial"/>
        <w:noProof/>
        <w:sz w:val="16"/>
      </w:rPr>
      <w:fldChar w:fldCharType="end"/>
    </w:r>
    <w:r w:rsidR="00910D73">
      <w:rPr>
        <w:rFonts w:ascii="Arial" w:hAnsi="Arial" w:cs="Arial"/>
        <w:sz w:val="16"/>
      </w:rPr>
      <w:t xml:space="preserve"> -</w:t>
    </w:r>
    <w:r w:rsidR="00910D73">
      <w:rPr>
        <w:rFonts w:ascii="Arial" w:hAnsi="Arial" w:cs="Arial"/>
        <w:sz w:val="16"/>
      </w:rPr>
      <w:tab/>
    </w:r>
    <w:r w:rsidR="00CB7976">
      <w:rPr>
        <w:rFonts w:ascii="Arial" w:hAnsi="Arial" w:cs="Arial"/>
        <w:sz w:val="16"/>
      </w:rPr>
      <w:t>January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300CD"/>
    <w:rsid w:val="00036B62"/>
    <w:rsid w:val="00094AB0"/>
    <w:rsid w:val="000B4D1E"/>
    <w:rsid w:val="000B4FD2"/>
    <w:rsid w:val="00107C04"/>
    <w:rsid w:val="00115132"/>
    <w:rsid w:val="001502F4"/>
    <w:rsid w:val="00153987"/>
    <w:rsid w:val="00154EEF"/>
    <w:rsid w:val="00170234"/>
    <w:rsid w:val="00177ADA"/>
    <w:rsid w:val="001D728C"/>
    <w:rsid w:val="00225414"/>
    <w:rsid w:val="00237FDC"/>
    <w:rsid w:val="002411C8"/>
    <w:rsid w:val="00245283"/>
    <w:rsid w:val="00251527"/>
    <w:rsid w:val="00253787"/>
    <w:rsid w:val="00257A1B"/>
    <w:rsid w:val="002C303D"/>
    <w:rsid w:val="002D1666"/>
    <w:rsid w:val="002D6211"/>
    <w:rsid w:val="002D7A4E"/>
    <w:rsid w:val="002F3D7A"/>
    <w:rsid w:val="00334CE2"/>
    <w:rsid w:val="003537EE"/>
    <w:rsid w:val="003A0240"/>
    <w:rsid w:val="003A5EC3"/>
    <w:rsid w:val="003B79D1"/>
    <w:rsid w:val="003D4D84"/>
    <w:rsid w:val="003E4039"/>
    <w:rsid w:val="003F3562"/>
    <w:rsid w:val="003F5C2B"/>
    <w:rsid w:val="00400C75"/>
    <w:rsid w:val="0040407C"/>
    <w:rsid w:val="00423AB7"/>
    <w:rsid w:val="00431947"/>
    <w:rsid w:val="0044252F"/>
    <w:rsid w:val="00451F75"/>
    <w:rsid w:val="00483967"/>
    <w:rsid w:val="004935F7"/>
    <w:rsid w:val="004A671D"/>
    <w:rsid w:val="004B2384"/>
    <w:rsid w:val="004B4CC0"/>
    <w:rsid w:val="004B7F3C"/>
    <w:rsid w:val="004E3858"/>
    <w:rsid w:val="004F5CBB"/>
    <w:rsid w:val="00510D70"/>
    <w:rsid w:val="005727D3"/>
    <w:rsid w:val="00580101"/>
    <w:rsid w:val="00580F89"/>
    <w:rsid w:val="00587BB5"/>
    <w:rsid w:val="005E6DB8"/>
    <w:rsid w:val="005F6457"/>
    <w:rsid w:val="00614BB3"/>
    <w:rsid w:val="00693E81"/>
    <w:rsid w:val="007138E4"/>
    <w:rsid w:val="007211AB"/>
    <w:rsid w:val="007512B1"/>
    <w:rsid w:val="0075549C"/>
    <w:rsid w:val="007739D8"/>
    <w:rsid w:val="007B5159"/>
    <w:rsid w:val="007C5A65"/>
    <w:rsid w:val="007D4DE7"/>
    <w:rsid w:val="007D64E0"/>
    <w:rsid w:val="007E517D"/>
    <w:rsid w:val="008062C8"/>
    <w:rsid w:val="00811DBF"/>
    <w:rsid w:val="00825C3F"/>
    <w:rsid w:val="008270A0"/>
    <w:rsid w:val="00835B01"/>
    <w:rsid w:val="00851F57"/>
    <w:rsid w:val="00864070"/>
    <w:rsid w:val="00880003"/>
    <w:rsid w:val="008858FA"/>
    <w:rsid w:val="008A58C1"/>
    <w:rsid w:val="008A6BC8"/>
    <w:rsid w:val="008A7653"/>
    <w:rsid w:val="008B5EA3"/>
    <w:rsid w:val="008C2803"/>
    <w:rsid w:val="008D28D1"/>
    <w:rsid w:val="008E0013"/>
    <w:rsid w:val="008F477E"/>
    <w:rsid w:val="00910D73"/>
    <w:rsid w:val="00916BC1"/>
    <w:rsid w:val="009260B6"/>
    <w:rsid w:val="00930173"/>
    <w:rsid w:val="00945445"/>
    <w:rsid w:val="009731E1"/>
    <w:rsid w:val="00986903"/>
    <w:rsid w:val="00A05945"/>
    <w:rsid w:val="00A16150"/>
    <w:rsid w:val="00A206C4"/>
    <w:rsid w:val="00A25277"/>
    <w:rsid w:val="00A4525A"/>
    <w:rsid w:val="00A455FF"/>
    <w:rsid w:val="00A469E0"/>
    <w:rsid w:val="00AD61C4"/>
    <w:rsid w:val="00AE2024"/>
    <w:rsid w:val="00B52B39"/>
    <w:rsid w:val="00BD6597"/>
    <w:rsid w:val="00C25DB8"/>
    <w:rsid w:val="00C30C3E"/>
    <w:rsid w:val="00C3191A"/>
    <w:rsid w:val="00C448A3"/>
    <w:rsid w:val="00CB7976"/>
    <w:rsid w:val="00CC6F88"/>
    <w:rsid w:val="00CC746A"/>
    <w:rsid w:val="00CF1AB0"/>
    <w:rsid w:val="00D0569F"/>
    <w:rsid w:val="00D14020"/>
    <w:rsid w:val="00D376B1"/>
    <w:rsid w:val="00D7471F"/>
    <w:rsid w:val="00DB4488"/>
    <w:rsid w:val="00DD0FC2"/>
    <w:rsid w:val="00E00185"/>
    <w:rsid w:val="00E304F0"/>
    <w:rsid w:val="00E34B24"/>
    <w:rsid w:val="00E65162"/>
    <w:rsid w:val="00E66F0C"/>
    <w:rsid w:val="00EB7FFC"/>
    <w:rsid w:val="00ED1888"/>
    <w:rsid w:val="00ED4733"/>
    <w:rsid w:val="00F24944"/>
    <w:rsid w:val="00F343DF"/>
    <w:rsid w:val="00F513BD"/>
    <w:rsid w:val="00F62123"/>
    <w:rsid w:val="00FA07F1"/>
    <w:rsid w:val="00FA5C26"/>
    <w:rsid w:val="00FB4325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20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Manami Kimura</cp:lastModifiedBy>
  <cp:revision>3</cp:revision>
  <cp:lastPrinted>2016-01-26T16:39:00Z</cp:lastPrinted>
  <dcterms:created xsi:type="dcterms:W3CDTF">2016-01-26T16:39:00Z</dcterms:created>
  <dcterms:modified xsi:type="dcterms:W3CDTF">2016-01-26T16:39:00Z</dcterms:modified>
</cp:coreProperties>
</file>