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F7" w:rsidRPr="008E0013" w:rsidRDefault="004935F7" w:rsidP="008F477E">
      <w:pPr>
        <w:spacing w:after="240" w:line="240" w:lineRule="auto"/>
        <w:rPr>
          <w:rFonts w:ascii="Arial" w:hAnsi="Arial" w:cs="Arial"/>
          <w:b/>
          <w:sz w:val="20"/>
          <w:szCs w:val="20"/>
        </w:rPr>
      </w:pPr>
      <w:r w:rsidRPr="008E0013">
        <w:rPr>
          <w:rFonts w:ascii="Arial" w:hAnsi="Arial" w:cs="Arial"/>
          <w:b/>
          <w:sz w:val="20"/>
          <w:szCs w:val="20"/>
        </w:rPr>
        <w:t xml:space="preserve">Response to </w:t>
      </w:r>
      <w:r w:rsidR="00F965CC">
        <w:rPr>
          <w:rFonts w:ascii="Arial" w:hAnsi="Arial" w:cs="Arial"/>
          <w:b/>
          <w:sz w:val="20"/>
          <w:szCs w:val="20"/>
        </w:rPr>
        <w:t xml:space="preserve">Client </w:t>
      </w:r>
      <w:r w:rsidRPr="008E0013">
        <w:rPr>
          <w:rFonts w:ascii="Arial" w:hAnsi="Arial" w:cs="Arial"/>
          <w:b/>
          <w:sz w:val="20"/>
          <w:szCs w:val="20"/>
        </w:rPr>
        <w:t xml:space="preserve">Comments from Draft Report Version (as Received </w:t>
      </w:r>
      <w:r w:rsidR="009E2536">
        <w:rPr>
          <w:rFonts w:ascii="Arial" w:hAnsi="Arial" w:cs="Arial"/>
          <w:b/>
          <w:sz w:val="20"/>
          <w:szCs w:val="20"/>
        </w:rPr>
        <w:t>November 1</w:t>
      </w:r>
      <w:r w:rsidR="00284FA4">
        <w:rPr>
          <w:rFonts w:ascii="Arial" w:hAnsi="Arial" w:cs="Arial"/>
          <w:b/>
          <w:sz w:val="20"/>
          <w:szCs w:val="20"/>
        </w:rPr>
        <w:t>, 2016</w:t>
      </w:r>
      <w:r w:rsidR="008E0013">
        <w:rPr>
          <w:rFonts w:ascii="Arial" w:hAnsi="Arial" w:cs="Arial"/>
          <w:b/>
          <w:sz w:val="20"/>
          <w:szCs w:val="20"/>
        </w:rPr>
        <w:t>)</w:t>
      </w:r>
    </w:p>
    <w:tbl>
      <w:tblPr>
        <w:tblStyle w:val="TableGrid"/>
        <w:tblW w:w="12960" w:type="dxa"/>
        <w:jc w:val="center"/>
        <w:tblLayout w:type="fixed"/>
        <w:tblCellMar>
          <w:left w:w="115" w:type="dxa"/>
          <w:right w:w="115" w:type="dxa"/>
        </w:tblCellMar>
        <w:tblLook w:val="04A0" w:firstRow="1" w:lastRow="0" w:firstColumn="1" w:lastColumn="0" w:noHBand="0" w:noVBand="1"/>
      </w:tblPr>
      <w:tblGrid>
        <w:gridCol w:w="1170"/>
        <w:gridCol w:w="720"/>
        <w:gridCol w:w="5310"/>
        <w:gridCol w:w="5760"/>
      </w:tblGrid>
      <w:tr w:rsidR="007E517D" w:rsidRPr="00792B95" w:rsidTr="00057F4B">
        <w:trPr>
          <w:cantSplit/>
          <w:jc w:val="center"/>
        </w:trPr>
        <w:tc>
          <w:tcPr>
            <w:tcW w:w="1170" w:type="dxa"/>
            <w:shd w:val="clear" w:color="auto" w:fill="73C6A1" w:themeFill="accent1"/>
            <w:vAlign w:val="center"/>
          </w:tcPr>
          <w:p w:rsidR="007E517D" w:rsidRPr="00792B95" w:rsidRDefault="007E517D" w:rsidP="008F477E">
            <w:pPr>
              <w:spacing w:before="60" w:after="60"/>
              <w:jc w:val="center"/>
              <w:rPr>
                <w:rFonts w:ascii="Arial" w:hAnsi="Arial" w:cs="Arial"/>
                <w:b/>
                <w:sz w:val="18"/>
                <w:szCs w:val="18"/>
              </w:rPr>
            </w:pPr>
            <w:r w:rsidRPr="00792B95">
              <w:rPr>
                <w:rFonts w:ascii="Arial" w:hAnsi="Arial" w:cs="Arial"/>
                <w:b/>
                <w:sz w:val="18"/>
                <w:szCs w:val="18"/>
              </w:rPr>
              <w:t>Comment No.</w:t>
            </w:r>
          </w:p>
        </w:tc>
        <w:tc>
          <w:tcPr>
            <w:tcW w:w="720" w:type="dxa"/>
            <w:shd w:val="clear" w:color="auto" w:fill="73C6A1" w:themeFill="accent1"/>
            <w:vAlign w:val="center"/>
          </w:tcPr>
          <w:p w:rsidR="007E517D" w:rsidRPr="00792B95" w:rsidRDefault="007E517D" w:rsidP="008F477E">
            <w:pPr>
              <w:spacing w:before="60" w:after="60"/>
              <w:jc w:val="center"/>
              <w:rPr>
                <w:rFonts w:ascii="Arial" w:hAnsi="Arial" w:cs="Arial"/>
                <w:b/>
                <w:sz w:val="18"/>
                <w:szCs w:val="18"/>
              </w:rPr>
            </w:pPr>
            <w:r w:rsidRPr="00792B95">
              <w:rPr>
                <w:rFonts w:ascii="Arial" w:hAnsi="Arial" w:cs="Arial"/>
                <w:b/>
                <w:sz w:val="18"/>
                <w:szCs w:val="18"/>
              </w:rPr>
              <w:t>Page</w:t>
            </w:r>
          </w:p>
        </w:tc>
        <w:tc>
          <w:tcPr>
            <w:tcW w:w="5310" w:type="dxa"/>
            <w:shd w:val="clear" w:color="auto" w:fill="73C6A1" w:themeFill="accent1"/>
            <w:vAlign w:val="center"/>
          </w:tcPr>
          <w:p w:rsidR="007E517D" w:rsidRPr="00792B95" w:rsidRDefault="007E517D" w:rsidP="008F477E">
            <w:pPr>
              <w:spacing w:before="60" w:after="60"/>
              <w:jc w:val="center"/>
              <w:rPr>
                <w:rFonts w:ascii="Arial" w:hAnsi="Arial" w:cs="Arial"/>
                <w:b/>
                <w:sz w:val="18"/>
                <w:szCs w:val="18"/>
              </w:rPr>
            </w:pPr>
            <w:r w:rsidRPr="00792B95">
              <w:rPr>
                <w:rFonts w:ascii="Arial" w:hAnsi="Arial" w:cs="Arial"/>
                <w:b/>
                <w:sz w:val="18"/>
                <w:szCs w:val="18"/>
              </w:rPr>
              <w:t>Comment</w:t>
            </w:r>
          </w:p>
        </w:tc>
        <w:tc>
          <w:tcPr>
            <w:tcW w:w="5760" w:type="dxa"/>
            <w:shd w:val="clear" w:color="auto" w:fill="73C6A1" w:themeFill="accent1"/>
            <w:vAlign w:val="center"/>
          </w:tcPr>
          <w:p w:rsidR="007E517D" w:rsidRPr="00792B95" w:rsidRDefault="007E517D" w:rsidP="008F477E">
            <w:pPr>
              <w:spacing w:before="60" w:after="60"/>
              <w:jc w:val="center"/>
              <w:rPr>
                <w:rFonts w:ascii="Arial" w:hAnsi="Arial" w:cs="Arial"/>
                <w:b/>
                <w:sz w:val="18"/>
                <w:szCs w:val="18"/>
              </w:rPr>
            </w:pPr>
            <w:r w:rsidRPr="00792B95">
              <w:rPr>
                <w:rFonts w:ascii="Arial" w:hAnsi="Arial" w:cs="Arial"/>
                <w:b/>
                <w:sz w:val="18"/>
                <w:szCs w:val="18"/>
              </w:rPr>
              <w:t>Response</w:t>
            </w:r>
          </w:p>
        </w:tc>
      </w:tr>
      <w:tr w:rsidR="007E517D" w:rsidRPr="00792B95" w:rsidTr="00057F4B">
        <w:trPr>
          <w:cantSplit/>
          <w:jc w:val="center"/>
        </w:trPr>
        <w:tc>
          <w:tcPr>
            <w:tcW w:w="1170" w:type="dxa"/>
            <w:vAlign w:val="center"/>
          </w:tcPr>
          <w:p w:rsidR="007E517D" w:rsidRPr="00792B95" w:rsidRDefault="002D6211" w:rsidP="008F477E">
            <w:pPr>
              <w:spacing w:before="60" w:after="60"/>
              <w:jc w:val="center"/>
              <w:rPr>
                <w:rFonts w:ascii="Arial" w:hAnsi="Arial" w:cs="Arial"/>
                <w:sz w:val="18"/>
                <w:szCs w:val="18"/>
              </w:rPr>
            </w:pPr>
            <w:r w:rsidRPr="00792B95">
              <w:rPr>
                <w:rFonts w:ascii="Arial" w:hAnsi="Arial" w:cs="Arial"/>
                <w:sz w:val="18"/>
                <w:szCs w:val="18"/>
              </w:rPr>
              <w:t>1</w:t>
            </w:r>
          </w:p>
        </w:tc>
        <w:tc>
          <w:tcPr>
            <w:tcW w:w="720" w:type="dxa"/>
            <w:vAlign w:val="center"/>
          </w:tcPr>
          <w:p w:rsidR="007E517D" w:rsidRPr="00792B95" w:rsidRDefault="009E2536" w:rsidP="008F477E">
            <w:pPr>
              <w:spacing w:before="60" w:after="60"/>
              <w:jc w:val="center"/>
              <w:rPr>
                <w:rFonts w:ascii="Arial" w:hAnsi="Arial" w:cs="Arial"/>
                <w:sz w:val="18"/>
                <w:szCs w:val="18"/>
              </w:rPr>
            </w:pPr>
            <w:r w:rsidRPr="00792B95">
              <w:rPr>
                <w:rFonts w:ascii="Arial" w:hAnsi="Arial" w:cs="Arial"/>
                <w:sz w:val="18"/>
                <w:szCs w:val="18"/>
              </w:rPr>
              <w:t>5</w:t>
            </w:r>
          </w:p>
        </w:tc>
        <w:tc>
          <w:tcPr>
            <w:tcW w:w="5310" w:type="dxa"/>
            <w:vAlign w:val="center"/>
          </w:tcPr>
          <w:p w:rsidR="009E2536" w:rsidRPr="00792B95" w:rsidRDefault="009E2536" w:rsidP="009E2536">
            <w:pPr>
              <w:pStyle w:val="CommentText"/>
              <w:rPr>
                <w:rFonts w:ascii="Arial" w:hAnsi="Arial" w:cs="Arial"/>
                <w:sz w:val="18"/>
                <w:szCs w:val="18"/>
              </w:rPr>
            </w:pPr>
            <w:r w:rsidRPr="00792B95">
              <w:rPr>
                <w:rFonts w:ascii="Arial" w:hAnsi="Arial" w:cs="Arial"/>
                <w:sz w:val="18"/>
                <w:szCs w:val="18"/>
              </w:rPr>
              <w:t>While I understand that field notes are preliminary observations taken at the time of sampling and are not necessarily a conclusion on site status – field notes do indicate that this well may be plugged with bentonite.  Please confirm.</w:t>
            </w:r>
          </w:p>
          <w:p w:rsidR="007E517D" w:rsidRPr="00792B95" w:rsidRDefault="009E2536" w:rsidP="009E2536">
            <w:pPr>
              <w:spacing w:before="60" w:after="60"/>
              <w:rPr>
                <w:rFonts w:ascii="Arial" w:hAnsi="Arial" w:cs="Arial"/>
                <w:sz w:val="18"/>
                <w:szCs w:val="18"/>
              </w:rPr>
            </w:pPr>
            <w:r w:rsidRPr="00792B95">
              <w:rPr>
                <w:rFonts w:ascii="Arial" w:hAnsi="Arial" w:cs="Arial"/>
                <w:sz w:val="18"/>
                <w:szCs w:val="18"/>
              </w:rPr>
              <w:t xml:space="preserve">This well was listed as frozen during the June sampling event – is it possible that the well may have been plugged at that point too?  </w:t>
            </w:r>
          </w:p>
        </w:tc>
        <w:tc>
          <w:tcPr>
            <w:tcW w:w="5760" w:type="dxa"/>
            <w:vAlign w:val="center"/>
          </w:tcPr>
          <w:p w:rsidR="007E517D" w:rsidRPr="00792B95" w:rsidRDefault="00C61EF5" w:rsidP="00C61EF5">
            <w:pPr>
              <w:spacing w:before="60" w:after="60"/>
              <w:rPr>
                <w:rFonts w:ascii="Arial" w:hAnsi="Arial" w:cs="Arial"/>
                <w:sz w:val="18"/>
                <w:szCs w:val="18"/>
              </w:rPr>
            </w:pPr>
            <w:r w:rsidRPr="00792B95">
              <w:rPr>
                <w:rFonts w:ascii="Arial" w:hAnsi="Arial" w:cs="Arial"/>
                <w:sz w:val="18"/>
                <w:szCs w:val="18"/>
              </w:rPr>
              <w:t>This comment appears to be referring to Well MW09-17. We have reviewed the past information from this well, and it appears that it was dry and had bentonite residue on the bottom, leading to the confusion. During the spring 2016 event a frozen bentonite plug was encountered at 1.31 m below ground, hence the frozen designation (was not classified as blocked as the obstruction was only present due to frozen conditions). During the August 2016 event the DTB measurements were consistent with other previous events (spring blockage was not encountered), suggesti</w:t>
            </w:r>
            <w:bookmarkStart w:id="0" w:name="_GoBack"/>
            <w:bookmarkEnd w:id="0"/>
            <w:r w:rsidRPr="00792B95">
              <w:rPr>
                <w:rFonts w:ascii="Arial" w:hAnsi="Arial" w:cs="Arial"/>
                <w:sz w:val="18"/>
                <w:szCs w:val="18"/>
              </w:rPr>
              <w:t xml:space="preserve">ng it was dry with bentonite residue. </w:t>
            </w:r>
          </w:p>
          <w:p w:rsidR="00C61EF5" w:rsidRPr="00792B95" w:rsidRDefault="00C61EF5" w:rsidP="00C61EF5">
            <w:pPr>
              <w:spacing w:before="60" w:after="60"/>
              <w:rPr>
                <w:rFonts w:ascii="Arial" w:hAnsi="Arial" w:cs="Arial"/>
                <w:sz w:val="18"/>
                <w:szCs w:val="18"/>
              </w:rPr>
            </w:pPr>
            <w:r w:rsidRPr="00792B95">
              <w:rPr>
                <w:rFonts w:ascii="Arial" w:hAnsi="Arial" w:cs="Arial"/>
                <w:sz w:val="18"/>
                <w:szCs w:val="18"/>
              </w:rPr>
              <w:t xml:space="preserve">What appears to be happening is that bentonite is leaking in slightly below ground level, likely through a breakage in the well casing. </w:t>
            </w:r>
          </w:p>
        </w:tc>
      </w:tr>
      <w:tr w:rsidR="007E517D" w:rsidRPr="00792B95" w:rsidTr="00057F4B">
        <w:trPr>
          <w:cantSplit/>
          <w:jc w:val="center"/>
        </w:trPr>
        <w:tc>
          <w:tcPr>
            <w:tcW w:w="1170" w:type="dxa"/>
            <w:vAlign w:val="center"/>
          </w:tcPr>
          <w:p w:rsidR="007E517D" w:rsidRPr="00792B95" w:rsidRDefault="007D4DE7" w:rsidP="008F477E">
            <w:pPr>
              <w:spacing w:before="60" w:after="60"/>
              <w:jc w:val="center"/>
              <w:rPr>
                <w:rFonts w:ascii="Arial" w:hAnsi="Arial" w:cs="Arial"/>
                <w:sz w:val="18"/>
                <w:szCs w:val="18"/>
              </w:rPr>
            </w:pPr>
            <w:r w:rsidRPr="00792B95">
              <w:rPr>
                <w:rFonts w:ascii="Arial" w:hAnsi="Arial" w:cs="Arial"/>
                <w:sz w:val="18"/>
                <w:szCs w:val="18"/>
              </w:rPr>
              <w:t>2</w:t>
            </w:r>
          </w:p>
        </w:tc>
        <w:tc>
          <w:tcPr>
            <w:tcW w:w="720" w:type="dxa"/>
            <w:vAlign w:val="center"/>
          </w:tcPr>
          <w:p w:rsidR="007E517D" w:rsidRPr="00792B95" w:rsidRDefault="008E7027" w:rsidP="008F477E">
            <w:pPr>
              <w:spacing w:before="60" w:after="60"/>
              <w:jc w:val="center"/>
              <w:rPr>
                <w:rFonts w:ascii="Arial" w:hAnsi="Arial" w:cs="Arial"/>
                <w:sz w:val="18"/>
                <w:szCs w:val="18"/>
              </w:rPr>
            </w:pPr>
            <w:r w:rsidRPr="00792B95">
              <w:rPr>
                <w:rFonts w:ascii="Arial" w:hAnsi="Arial" w:cs="Arial"/>
                <w:sz w:val="18"/>
                <w:szCs w:val="18"/>
              </w:rPr>
              <w:t>18</w:t>
            </w:r>
          </w:p>
        </w:tc>
        <w:tc>
          <w:tcPr>
            <w:tcW w:w="5310" w:type="dxa"/>
            <w:vAlign w:val="center"/>
          </w:tcPr>
          <w:p w:rsidR="007E517D" w:rsidRPr="00792B95" w:rsidRDefault="008E7027" w:rsidP="00284FA4">
            <w:pPr>
              <w:pStyle w:val="CommentText"/>
              <w:rPr>
                <w:rFonts w:ascii="Arial" w:hAnsi="Arial" w:cs="Arial"/>
                <w:sz w:val="18"/>
                <w:szCs w:val="18"/>
              </w:rPr>
            </w:pPr>
            <w:r w:rsidRPr="00792B95">
              <w:rPr>
                <w:rStyle w:val="CommentReference"/>
                <w:rFonts w:ascii="Arial" w:hAnsi="Arial" w:cs="Arial"/>
                <w:sz w:val="18"/>
                <w:szCs w:val="18"/>
              </w:rPr>
              <w:t>Dry or plugged (i.e., with bentonite)?  Field notes for this well indicate plugged.</w:t>
            </w:r>
          </w:p>
        </w:tc>
        <w:tc>
          <w:tcPr>
            <w:tcW w:w="5760" w:type="dxa"/>
            <w:vAlign w:val="center"/>
          </w:tcPr>
          <w:p w:rsidR="007E517D" w:rsidRPr="00792B95" w:rsidRDefault="003D62C6" w:rsidP="00A455FF">
            <w:pPr>
              <w:spacing w:before="60" w:after="60"/>
              <w:rPr>
                <w:rFonts w:ascii="Arial" w:hAnsi="Arial" w:cs="Arial"/>
                <w:sz w:val="18"/>
                <w:szCs w:val="18"/>
              </w:rPr>
            </w:pPr>
            <w:r w:rsidRPr="00792B95">
              <w:rPr>
                <w:rFonts w:ascii="Arial" w:hAnsi="Arial" w:cs="Arial"/>
                <w:sz w:val="18"/>
                <w:szCs w:val="18"/>
              </w:rPr>
              <w:t xml:space="preserve">The well was confirmed to be dry, but </w:t>
            </w:r>
            <w:r w:rsidR="008E7027" w:rsidRPr="00792B95">
              <w:rPr>
                <w:rFonts w:ascii="Arial" w:hAnsi="Arial" w:cs="Arial"/>
                <w:sz w:val="18"/>
                <w:szCs w:val="18"/>
              </w:rPr>
              <w:t xml:space="preserve">I have added some text to provide more information about the </w:t>
            </w:r>
            <w:proofErr w:type="spellStart"/>
            <w:r w:rsidR="008E7027" w:rsidRPr="00792B95">
              <w:rPr>
                <w:rFonts w:ascii="Arial" w:hAnsi="Arial" w:cs="Arial"/>
                <w:sz w:val="18"/>
                <w:szCs w:val="18"/>
              </w:rPr>
              <w:t>well being</w:t>
            </w:r>
            <w:proofErr w:type="spellEnd"/>
            <w:r w:rsidR="008E7027" w:rsidRPr="00792B95">
              <w:rPr>
                <w:rFonts w:ascii="Arial" w:hAnsi="Arial" w:cs="Arial"/>
                <w:sz w:val="18"/>
                <w:szCs w:val="18"/>
              </w:rPr>
              <w:t xml:space="preserve"> dry with bentonite residue. </w:t>
            </w:r>
          </w:p>
        </w:tc>
      </w:tr>
      <w:tr w:rsidR="007E517D" w:rsidRPr="00792B95" w:rsidTr="00057F4B">
        <w:trPr>
          <w:cantSplit/>
          <w:jc w:val="center"/>
        </w:trPr>
        <w:tc>
          <w:tcPr>
            <w:tcW w:w="1170" w:type="dxa"/>
            <w:vAlign w:val="center"/>
          </w:tcPr>
          <w:p w:rsidR="007E517D" w:rsidRPr="00792B95" w:rsidRDefault="007138E4" w:rsidP="008F477E">
            <w:pPr>
              <w:spacing w:before="60" w:after="60"/>
              <w:jc w:val="center"/>
              <w:rPr>
                <w:rFonts w:ascii="Arial" w:hAnsi="Arial" w:cs="Arial"/>
                <w:sz w:val="18"/>
                <w:szCs w:val="18"/>
              </w:rPr>
            </w:pPr>
            <w:r w:rsidRPr="00792B95">
              <w:rPr>
                <w:rFonts w:ascii="Arial" w:hAnsi="Arial" w:cs="Arial"/>
                <w:sz w:val="18"/>
                <w:szCs w:val="18"/>
              </w:rPr>
              <w:t>3</w:t>
            </w:r>
          </w:p>
        </w:tc>
        <w:tc>
          <w:tcPr>
            <w:tcW w:w="720" w:type="dxa"/>
            <w:vAlign w:val="center"/>
          </w:tcPr>
          <w:p w:rsidR="007E517D"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19</w:t>
            </w:r>
          </w:p>
        </w:tc>
        <w:tc>
          <w:tcPr>
            <w:tcW w:w="5310" w:type="dxa"/>
            <w:vAlign w:val="center"/>
          </w:tcPr>
          <w:p w:rsidR="007E517D" w:rsidRPr="00792B95" w:rsidRDefault="001748F5" w:rsidP="00284FA4">
            <w:pPr>
              <w:pStyle w:val="CommentText"/>
              <w:rPr>
                <w:rFonts w:ascii="Arial" w:hAnsi="Arial" w:cs="Arial"/>
                <w:sz w:val="18"/>
                <w:szCs w:val="18"/>
              </w:rPr>
            </w:pPr>
            <w:r w:rsidRPr="00792B95">
              <w:rPr>
                <w:rFonts w:ascii="Arial" w:hAnsi="Arial" w:cs="Arial"/>
                <w:sz w:val="18"/>
                <w:szCs w:val="18"/>
              </w:rPr>
              <w:t>While Table 3-3 does indicate that exceedances of ammonia were reported for GSI-HA-03A and GSI-HA-04A, Table A (analytical results) contradicts Table 3-3.  Please double check results and confirm whether there were any exceedances of ammonia in the Mill Complex Area.</w:t>
            </w:r>
          </w:p>
        </w:tc>
        <w:tc>
          <w:tcPr>
            <w:tcW w:w="5760" w:type="dxa"/>
            <w:vAlign w:val="center"/>
          </w:tcPr>
          <w:p w:rsidR="007E517D" w:rsidRPr="00792B95" w:rsidRDefault="003D62C6"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 xml:space="preserve">We have confirmed that table A is correct, and the issue with Table 3-3 has been corrected. </w:t>
            </w:r>
          </w:p>
        </w:tc>
      </w:tr>
      <w:tr w:rsidR="001748F5" w:rsidRPr="00792B95" w:rsidTr="00057F4B">
        <w:trPr>
          <w:cantSplit/>
          <w:jc w:val="center"/>
        </w:trPr>
        <w:tc>
          <w:tcPr>
            <w:tcW w:w="117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4</w:t>
            </w:r>
          </w:p>
        </w:tc>
        <w:tc>
          <w:tcPr>
            <w:tcW w:w="72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19</w:t>
            </w:r>
          </w:p>
        </w:tc>
        <w:tc>
          <w:tcPr>
            <w:tcW w:w="5310" w:type="dxa"/>
            <w:vAlign w:val="center"/>
          </w:tcPr>
          <w:p w:rsidR="001748F5" w:rsidRPr="00792B95" w:rsidRDefault="001748F5" w:rsidP="00284FA4">
            <w:pPr>
              <w:pStyle w:val="CommentText"/>
              <w:rPr>
                <w:rFonts w:ascii="Arial" w:hAnsi="Arial" w:cs="Arial"/>
                <w:sz w:val="18"/>
                <w:szCs w:val="18"/>
              </w:rPr>
            </w:pPr>
            <w:r w:rsidRPr="00792B95">
              <w:rPr>
                <w:rStyle w:val="CommentReference"/>
                <w:rFonts w:ascii="Arial" w:hAnsi="Arial" w:cs="Arial"/>
                <w:sz w:val="18"/>
                <w:szCs w:val="18"/>
              </w:rPr>
              <w:t>Deleted reference to DES for clarity – AAM restricts access to areas on site, while the C&amp;M operator enforces it.</w:t>
            </w:r>
          </w:p>
        </w:tc>
        <w:tc>
          <w:tcPr>
            <w:tcW w:w="5760" w:type="dxa"/>
            <w:vAlign w:val="center"/>
          </w:tcPr>
          <w:p w:rsidR="001748F5" w:rsidRPr="00792B95" w:rsidRDefault="003D62C6"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Acknowledged</w:t>
            </w:r>
          </w:p>
        </w:tc>
      </w:tr>
      <w:tr w:rsidR="001748F5" w:rsidRPr="00792B95" w:rsidTr="00057F4B">
        <w:trPr>
          <w:cantSplit/>
          <w:jc w:val="center"/>
        </w:trPr>
        <w:tc>
          <w:tcPr>
            <w:tcW w:w="117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5</w:t>
            </w:r>
          </w:p>
        </w:tc>
        <w:tc>
          <w:tcPr>
            <w:tcW w:w="72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20</w:t>
            </w:r>
          </w:p>
        </w:tc>
        <w:tc>
          <w:tcPr>
            <w:tcW w:w="5310" w:type="dxa"/>
            <w:vAlign w:val="center"/>
          </w:tcPr>
          <w:p w:rsidR="001748F5" w:rsidRPr="00792B95" w:rsidRDefault="001748F5" w:rsidP="001748F5">
            <w:pPr>
              <w:pStyle w:val="CommentText"/>
              <w:rPr>
                <w:rFonts w:ascii="Arial" w:hAnsi="Arial" w:cs="Arial"/>
                <w:sz w:val="18"/>
                <w:szCs w:val="18"/>
              </w:rPr>
            </w:pPr>
            <w:r w:rsidRPr="00792B95">
              <w:rPr>
                <w:rFonts w:ascii="Arial" w:hAnsi="Arial" w:cs="Arial"/>
                <w:sz w:val="18"/>
                <w:szCs w:val="18"/>
              </w:rPr>
              <w:t>I think this should be recorded in the cell above this one?  (i.e., exceedance of ammonia at GSI-DC-05B, not GSI-DC-06B)</w:t>
            </w:r>
          </w:p>
        </w:tc>
        <w:tc>
          <w:tcPr>
            <w:tcW w:w="5760" w:type="dxa"/>
            <w:vAlign w:val="center"/>
          </w:tcPr>
          <w:p w:rsidR="001748F5" w:rsidRPr="00792B95" w:rsidRDefault="00F71C7D"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This</w:t>
            </w:r>
            <w:r w:rsidR="0064469C" w:rsidRPr="00792B95">
              <w:rPr>
                <w:rFonts w:ascii="Arial" w:hAnsi="Arial" w:cs="Arial"/>
                <w:sz w:val="18"/>
                <w:szCs w:val="18"/>
              </w:rPr>
              <w:t xml:space="preserve"> is correct and has been corrected. </w:t>
            </w:r>
          </w:p>
        </w:tc>
      </w:tr>
      <w:tr w:rsidR="001748F5" w:rsidRPr="00792B95" w:rsidTr="00057F4B">
        <w:trPr>
          <w:cantSplit/>
          <w:jc w:val="center"/>
        </w:trPr>
        <w:tc>
          <w:tcPr>
            <w:tcW w:w="117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6</w:t>
            </w:r>
          </w:p>
        </w:tc>
        <w:tc>
          <w:tcPr>
            <w:tcW w:w="72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20</w:t>
            </w:r>
          </w:p>
        </w:tc>
        <w:tc>
          <w:tcPr>
            <w:tcW w:w="5310" w:type="dxa"/>
            <w:vAlign w:val="center"/>
          </w:tcPr>
          <w:p w:rsidR="001748F5" w:rsidRPr="00792B95" w:rsidRDefault="001748F5" w:rsidP="00792B95">
            <w:pPr>
              <w:pStyle w:val="CommentText"/>
              <w:rPr>
                <w:rFonts w:ascii="Arial" w:hAnsi="Arial" w:cs="Arial"/>
                <w:sz w:val="18"/>
                <w:szCs w:val="18"/>
              </w:rPr>
            </w:pPr>
            <w:r w:rsidRPr="00792B95">
              <w:rPr>
                <w:rFonts w:ascii="Arial" w:hAnsi="Arial" w:cs="Arial"/>
                <w:sz w:val="18"/>
                <w:szCs w:val="18"/>
              </w:rPr>
              <w:t>Table A indicates that the concentration of ammonia at GSI-HA-03A is 0.392 mg/L (and not an exceedance).  Please confirm and adjust if necessary.</w:t>
            </w:r>
          </w:p>
        </w:tc>
        <w:tc>
          <w:tcPr>
            <w:tcW w:w="5760" w:type="dxa"/>
            <w:vAlign w:val="center"/>
          </w:tcPr>
          <w:p w:rsidR="001748F5" w:rsidRPr="00792B95" w:rsidRDefault="0064469C"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 xml:space="preserve">Table A has the correct value, and Table 3-3 has been corrected. </w:t>
            </w:r>
          </w:p>
        </w:tc>
      </w:tr>
      <w:tr w:rsidR="001748F5" w:rsidRPr="00792B95" w:rsidTr="00057F4B">
        <w:trPr>
          <w:cantSplit/>
          <w:jc w:val="center"/>
        </w:trPr>
        <w:tc>
          <w:tcPr>
            <w:tcW w:w="117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7</w:t>
            </w:r>
          </w:p>
        </w:tc>
        <w:tc>
          <w:tcPr>
            <w:tcW w:w="720" w:type="dxa"/>
            <w:vAlign w:val="center"/>
          </w:tcPr>
          <w:p w:rsidR="001748F5" w:rsidRPr="00792B95" w:rsidRDefault="001748F5" w:rsidP="008F477E">
            <w:pPr>
              <w:spacing w:before="60" w:after="60"/>
              <w:jc w:val="center"/>
              <w:rPr>
                <w:rFonts w:ascii="Arial" w:hAnsi="Arial" w:cs="Arial"/>
                <w:sz w:val="18"/>
                <w:szCs w:val="18"/>
              </w:rPr>
            </w:pPr>
            <w:r w:rsidRPr="00792B95">
              <w:rPr>
                <w:rFonts w:ascii="Arial" w:hAnsi="Arial" w:cs="Arial"/>
                <w:sz w:val="18"/>
                <w:szCs w:val="18"/>
              </w:rPr>
              <w:t>20</w:t>
            </w:r>
          </w:p>
        </w:tc>
        <w:tc>
          <w:tcPr>
            <w:tcW w:w="5310" w:type="dxa"/>
            <w:vAlign w:val="center"/>
          </w:tcPr>
          <w:p w:rsidR="001748F5" w:rsidRPr="00792B95" w:rsidRDefault="001748F5" w:rsidP="00284FA4">
            <w:pPr>
              <w:pStyle w:val="CommentText"/>
              <w:rPr>
                <w:rFonts w:ascii="Arial" w:hAnsi="Arial" w:cs="Arial"/>
                <w:sz w:val="18"/>
                <w:szCs w:val="18"/>
              </w:rPr>
            </w:pPr>
            <w:r w:rsidRPr="00792B95">
              <w:rPr>
                <w:rFonts w:ascii="Arial" w:hAnsi="Arial" w:cs="Arial"/>
                <w:sz w:val="18"/>
                <w:szCs w:val="18"/>
              </w:rPr>
              <w:t>Table A indicates that the concentration of ammonia at GSI-HA-04A is 0.184 mg/L (and not an exceedance).  Please confirm and adjust if necessary.</w:t>
            </w:r>
          </w:p>
        </w:tc>
        <w:tc>
          <w:tcPr>
            <w:tcW w:w="5760" w:type="dxa"/>
            <w:vAlign w:val="center"/>
          </w:tcPr>
          <w:p w:rsidR="001748F5" w:rsidRPr="00792B95" w:rsidRDefault="0064469C"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Table A has the correct value, and Table 3-3 has been corrected.</w:t>
            </w:r>
          </w:p>
        </w:tc>
      </w:tr>
      <w:tr w:rsidR="00F71C7D" w:rsidRPr="00792B95" w:rsidTr="00057F4B">
        <w:trPr>
          <w:cantSplit/>
          <w:jc w:val="center"/>
        </w:trPr>
        <w:tc>
          <w:tcPr>
            <w:tcW w:w="1170" w:type="dxa"/>
            <w:vAlign w:val="center"/>
          </w:tcPr>
          <w:p w:rsidR="00F71C7D" w:rsidRPr="00792B95" w:rsidRDefault="00F71C7D" w:rsidP="008F477E">
            <w:pPr>
              <w:spacing w:before="60" w:after="60"/>
              <w:jc w:val="center"/>
              <w:rPr>
                <w:rFonts w:ascii="Arial" w:hAnsi="Arial" w:cs="Arial"/>
                <w:sz w:val="18"/>
                <w:szCs w:val="18"/>
              </w:rPr>
            </w:pPr>
            <w:r w:rsidRPr="00792B95">
              <w:rPr>
                <w:rFonts w:ascii="Arial" w:hAnsi="Arial" w:cs="Arial"/>
                <w:sz w:val="18"/>
                <w:szCs w:val="18"/>
              </w:rPr>
              <w:t>8</w:t>
            </w:r>
          </w:p>
        </w:tc>
        <w:tc>
          <w:tcPr>
            <w:tcW w:w="720" w:type="dxa"/>
            <w:vAlign w:val="center"/>
          </w:tcPr>
          <w:p w:rsidR="00F71C7D" w:rsidRPr="00792B95" w:rsidRDefault="00F71C7D" w:rsidP="008F477E">
            <w:pPr>
              <w:spacing w:before="60" w:after="60"/>
              <w:jc w:val="center"/>
              <w:rPr>
                <w:rFonts w:ascii="Arial" w:hAnsi="Arial" w:cs="Arial"/>
                <w:sz w:val="18"/>
                <w:szCs w:val="18"/>
              </w:rPr>
            </w:pPr>
            <w:r w:rsidRPr="00792B95">
              <w:rPr>
                <w:rFonts w:ascii="Arial" w:hAnsi="Arial" w:cs="Arial"/>
                <w:sz w:val="18"/>
                <w:szCs w:val="18"/>
              </w:rPr>
              <w:t>22</w:t>
            </w:r>
          </w:p>
        </w:tc>
        <w:tc>
          <w:tcPr>
            <w:tcW w:w="5310" w:type="dxa"/>
            <w:vAlign w:val="center"/>
          </w:tcPr>
          <w:p w:rsidR="00F71C7D" w:rsidRPr="00792B95" w:rsidRDefault="00F71C7D" w:rsidP="00F71C7D">
            <w:pPr>
              <w:pStyle w:val="CommentText"/>
              <w:rPr>
                <w:rFonts w:ascii="Arial" w:hAnsi="Arial" w:cs="Arial"/>
                <w:sz w:val="18"/>
                <w:szCs w:val="18"/>
              </w:rPr>
            </w:pPr>
            <w:r w:rsidRPr="00792B95">
              <w:rPr>
                <w:rFonts w:ascii="Arial" w:hAnsi="Arial" w:cs="Arial"/>
                <w:sz w:val="18"/>
                <w:szCs w:val="18"/>
              </w:rPr>
              <w:t>Table 3-2 indicates that gas measurements were obtained from these destroyed wells – is that correct?</w:t>
            </w:r>
          </w:p>
          <w:p w:rsidR="00F71C7D" w:rsidRPr="00792B95" w:rsidRDefault="00F71C7D" w:rsidP="00F71C7D">
            <w:pPr>
              <w:pStyle w:val="CommentText"/>
              <w:rPr>
                <w:rFonts w:ascii="Arial" w:hAnsi="Arial" w:cs="Arial"/>
                <w:sz w:val="18"/>
                <w:szCs w:val="18"/>
              </w:rPr>
            </w:pPr>
            <w:r w:rsidRPr="00792B95">
              <w:rPr>
                <w:rFonts w:ascii="Arial" w:hAnsi="Arial" w:cs="Arial"/>
                <w:sz w:val="18"/>
                <w:szCs w:val="18"/>
              </w:rPr>
              <w:t>Additionally, Table 3-2 lists MP-09-02 as frozen (not destroyed).</w:t>
            </w:r>
          </w:p>
        </w:tc>
        <w:tc>
          <w:tcPr>
            <w:tcW w:w="5760" w:type="dxa"/>
            <w:vAlign w:val="center"/>
          </w:tcPr>
          <w:p w:rsidR="00F71C7D" w:rsidRPr="00792B95" w:rsidRDefault="0007109B" w:rsidP="00A455FF">
            <w:pPr>
              <w:autoSpaceDE w:val="0"/>
              <w:autoSpaceDN w:val="0"/>
              <w:adjustRightInd w:val="0"/>
              <w:spacing w:before="60" w:after="60"/>
              <w:rPr>
                <w:rFonts w:ascii="Arial" w:hAnsi="Arial" w:cs="Arial"/>
                <w:sz w:val="18"/>
                <w:szCs w:val="18"/>
              </w:rPr>
            </w:pPr>
            <w:r w:rsidRPr="00792B95">
              <w:rPr>
                <w:rFonts w:ascii="Arial" w:hAnsi="Arial" w:cs="Arial"/>
                <w:sz w:val="18"/>
                <w:szCs w:val="18"/>
              </w:rPr>
              <w:t xml:space="preserve">These records have been corrected – there should not have been gas measurements indicated for the destroyed wells, nor should MP-09-02 have been noted as being destroyed. </w:t>
            </w:r>
          </w:p>
        </w:tc>
      </w:tr>
    </w:tbl>
    <w:p w:rsidR="00E304F0" w:rsidRDefault="00E304F0"/>
    <w:sectPr w:rsidR="00E304F0" w:rsidSect="004935F7">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2E" w:rsidRDefault="007A5F2E" w:rsidP="004935F7">
      <w:pPr>
        <w:spacing w:after="0" w:line="240" w:lineRule="auto"/>
      </w:pPr>
      <w:r>
        <w:separator/>
      </w:r>
    </w:p>
  </w:endnote>
  <w:endnote w:type="continuationSeparator" w:id="0">
    <w:p w:rsidR="007A5F2E" w:rsidRDefault="007A5F2E" w:rsidP="0049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2E" w:rsidRDefault="007A5F2E" w:rsidP="004935F7">
      <w:pPr>
        <w:spacing w:after="0" w:line="240" w:lineRule="auto"/>
      </w:pPr>
      <w:r>
        <w:separator/>
      </w:r>
    </w:p>
  </w:footnote>
  <w:footnote w:type="continuationSeparator" w:id="0">
    <w:p w:rsidR="007A5F2E" w:rsidRDefault="007A5F2E" w:rsidP="0049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7E" w:rsidRPr="008F477E" w:rsidRDefault="00F343DF" w:rsidP="008F477E">
    <w:pPr>
      <w:pStyle w:val="Header"/>
      <w:tabs>
        <w:tab w:val="clear" w:pos="4680"/>
        <w:tab w:val="clear" w:pos="9360"/>
        <w:tab w:val="center" w:pos="6480"/>
        <w:tab w:val="right" w:pos="12960"/>
      </w:tabs>
      <w:rPr>
        <w:rFonts w:ascii="Arial" w:hAnsi="Arial" w:cs="Arial"/>
        <w:sz w:val="16"/>
      </w:rPr>
    </w:pPr>
    <w:r w:rsidRPr="00F343DF">
      <w:rPr>
        <w:rFonts w:ascii="Arial" w:hAnsi="Arial" w:cs="Arial"/>
        <w:sz w:val="16"/>
      </w:rPr>
      <w:t>Government of Yukon</w:t>
    </w:r>
    <w:r w:rsidR="008F477E" w:rsidRPr="008F477E">
      <w:rPr>
        <w:rFonts w:ascii="Arial" w:hAnsi="Arial" w:cs="Arial"/>
        <w:sz w:val="16"/>
      </w:rPr>
      <w:tab/>
    </w:r>
    <w:r w:rsidR="00580F89" w:rsidRPr="00580F89">
      <w:rPr>
        <w:rFonts w:ascii="Arial" w:hAnsi="Arial" w:cs="Arial"/>
        <w:b/>
        <w:sz w:val="16"/>
      </w:rPr>
      <w:t>APPENDIX D</w:t>
    </w:r>
    <w:r w:rsidR="008F477E" w:rsidRPr="008F477E">
      <w:rPr>
        <w:rFonts w:ascii="Arial" w:hAnsi="Arial" w:cs="Arial"/>
        <w:sz w:val="16"/>
      </w:rPr>
      <w:tab/>
      <w:t>Hemmera</w:t>
    </w:r>
  </w:p>
  <w:p w:rsidR="008F477E" w:rsidRPr="008F477E" w:rsidRDefault="00593DA7" w:rsidP="008F477E">
    <w:pPr>
      <w:pStyle w:val="Header"/>
      <w:pBdr>
        <w:bottom w:val="single" w:sz="4" w:space="1" w:color="auto"/>
      </w:pBdr>
      <w:tabs>
        <w:tab w:val="clear" w:pos="4680"/>
        <w:tab w:val="clear" w:pos="9360"/>
        <w:tab w:val="center" w:pos="6480"/>
        <w:tab w:val="right" w:pos="12960"/>
      </w:tabs>
      <w:rPr>
        <w:rFonts w:ascii="Arial" w:hAnsi="Arial" w:cs="Arial"/>
        <w:sz w:val="16"/>
      </w:rPr>
    </w:pPr>
    <w:r>
      <w:rPr>
        <w:rFonts w:ascii="Arial" w:hAnsi="Arial" w:cs="Arial"/>
        <w:sz w:val="16"/>
      </w:rPr>
      <w:t xml:space="preserve">Mount Nansen </w:t>
    </w:r>
    <w:r w:rsidR="009E2536">
      <w:rPr>
        <w:rFonts w:ascii="Arial" w:hAnsi="Arial" w:cs="Arial"/>
        <w:sz w:val="16"/>
      </w:rPr>
      <w:t xml:space="preserve">August </w:t>
    </w:r>
    <w:r w:rsidR="00284FA4">
      <w:rPr>
        <w:rFonts w:ascii="Arial" w:hAnsi="Arial" w:cs="Arial"/>
        <w:sz w:val="16"/>
      </w:rPr>
      <w:t>2016</w:t>
    </w:r>
    <w:r w:rsidR="008F477E" w:rsidRPr="008F477E">
      <w:rPr>
        <w:rFonts w:ascii="Arial" w:hAnsi="Arial" w:cs="Arial"/>
        <w:sz w:val="16"/>
      </w:rPr>
      <w:t xml:space="preserve"> Groundwater </w:t>
    </w:r>
    <w:r>
      <w:rPr>
        <w:rFonts w:ascii="Arial" w:hAnsi="Arial" w:cs="Arial"/>
        <w:sz w:val="16"/>
      </w:rPr>
      <w:t>Monitoring</w:t>
    </w:r>
    <w:r w:rsidR="008F477E" w:rsidRPr="008F477E">
      <w:rPr>
        <w:rFonts w:ascii="Arial" w:hAnsi="Arial" w:cs="Arial"/>
        <w:sz w:val="16"/>
      </w:rPr>
      <w:tab/>
      <w:t xml:space="preserve">- </w:t>
    </w:r>
    <w:r w:rsidR="008F477E" w:rsidRPr="008F477E">
      <w:rPr>
        <w:rFonts w:ascii="Arial" w:hAnsi="Arial" w:cs="Arial"/>
        <w:sz w:val="16"/>
      </w:rPr>
      <w:fldChar w:fldCharType="begin"/>
    </w:r>
    <w:r w:rsidR="008F477E" w:rsidRPr="008F477E">
      <w:rPr>
        <w:rFonts w:ascii="Arial" w:hAnsi="Arial" w:cs="Arial"/>
        <w:sz w:val="16"/>
      </w:rPr>
      <w:instrText xml:space="preserve"> PAGE </w:instrText>
    </w:r>
    <w:r w:rsidR="008F477E" w:rsidRPr="008F477E">
      <w:rPr>
        <w:rFonts w:ascii="Arial" w:hAnsi="Arial" w:cs="Arial"/>
        <w:sz w:val="16"/>
      </w:rPr>
      <w:fldChar w:fldCharType="separate"/>
    </w:r>
    <w:r w:rsidR="0061560E">
      <w:rPr>
        <w:rFonts w:ascii="Arial" w:hAnsi="Arial" w:cs="Arial"/>
        <w:noProof/>
        <w:sz w:val="16"/>
      </w:rPr>
      <w:t>1</w:t>
    </w:r>
    <w:r w:rsidR="008F477E" w:rsidRPr="008F477E">
      <w:rPr>
        <w:rFonts w:ascii="Arial" w:hAnsi="Arial" w:cs="Arial"/>
        <w:noProof/>
        <w:sz w:val="16"/>
      </w:rPr>
      <w:fldChar w:fldCharType="end"/>
    </w:r>
    <w:r w:rsidR="00910D73">
      <w:rPr>
        <w:rFonts w:ascii="Arial" w:hAnsi="Arial" w:cs="Arial"/>
        <w:sz w:val="16"/>
      </w:rPr>
      <w:t xml:space="preserve"> -</w:t>
    </w:r>
    <w:r w:rsidR="00910D73">
      <w:rPr>
        <w:rFonts w:ascii="Arial" w:hAnsi="Arial" w:cs="Arial"/>
        <w:sz w:val="16"/>
      </w:rPr>
      <w:tab/>
    </w:r>
    <w:r w:rsidR="009E2536">
      <w:rPr>
        <w:rFonts w:ascii="Arial" w:hAnsi="Arial" w:cs="Arial"/>
        <w:sz w:val="16"/>
      </w:rPr>
      <w:t>November</w:t>
    </w:r>
    <w:r w:rsidR="00284FA4">
      <w:rPr>
        <w:rFonts w:ascii="Arial" w:hAnsi="Arial" w:cs="Arial"/>
        <w:sz w:val="16"/>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0FC4"/>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64F0EE7"/>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1A"/>
    <w:rsid w:val="0000184E"/>
    <w:rsid w:val="00044890"/>
    <w:rsid w:val="00057F4B"/>
    <w:rsid w:val="0007109B"/>
    <w:rsid w:val="00094AB0"/>
    <w:rsid w:val="000B4D1E"/>
    <w:rsid w:val="000B4FD2"/>
    <w:rsid w:val="000F03A5"/>
    <w:rsid w:val="00107C04"/>
    <w:rsid w:val="001502F4"/>
    <w:rsid w:val="00154EEF"/>
    <w:rsid w:val="001748F5"/>
    <w:rsid w:val="00177ADA"/>
    <w:rsid w:val="001D728C"/>
    <w:rsid w:val="00225414"/>
    <w:rsid w:val="002411C8"/>
    <w:rsid w:val="00245283"/>
    <w:rsid w:val="00253787"/>
    <w:rsid w:val="00257A1B"/>
    <w:rsid w:val="00284FA4"/>
    <w:rsid w:val="002C303D"/>
    <w:rsid w:val="002D1666"/>
    <w:rsid w:val="002D6211"/>
    <w:rsid w:val="002D7A4E"/>
    <w:rsid w:val="002F3D7A"/>
    <w:rsid w:val="00332AA3"/>
    <w:rsid w:val="00334CE2"/>
    <w:rsid w:val="003A0240"/>
    <w:rsid w:val="003A5EC3"/>
    <w:rsid w:val="003D4D84"/>
    <w:rsid w:val="003D62C6"/>
    <w:rsid w:val="003E4039"/>
    <w:rsid w:val="003F3562"/>
    <w:rsid w:val="00400C75"/>
    <w:rsid w:val="00423AB7"/>
    <w:rsid w:val="00431947"/>
    <w:rsid w:val="0044252F"/>
    <w:rsid w:val="00451F75"/>
    <w:rsid w:val="00483967"/>
    <w:rsid w:val="004935F7"/>
    <w:rsid w:val="004A671D"/>
    <w:rsid w:val="004B7F3C"/>
    <w:rsid w:val="004E3858"/>
    <w:rsid w:val="004F5CBB"/>
    <w:rsid w:val="00510D70"/>
    <w:rsid w:val="005727D3"/>
    <w:rsid w:val="00580101"/>
    <w:rsid w:val="00580F89"/>
    <w:rsid w:val="00587BB5"/>
    <w:rsid w:val="00593DA7"/>
    <w:rsid w:val="005E6DB8"/>
    <w:rsid w:val="005F6457"/>
    <w:rsid w:val="00614BB3"/>
    <w:rsid w:val="0061560E"/>
    <w:rsid w:val="0064469C"/>
    <w:rsid w:val="00693E81"/>
    <w:rsid w:val="007138E4"/>
    <w:rsid w:val="007402D7"/>
    <w:rsid w:val="0075549C"/>
    <w:rsid w:val="00792B95"/>
    <w:rsid w:val="007A5F2E"/>
    <w:rsid w:val="007C5A65"/>
    <w:rsid w:val="007D4DE7"/>
    <w:rsid w:val="007D64E0"/>
    <w:rsid w:val="007E517D"/>
    <w:rsid w:val="008062C8"/>
    <w:rsid w:val="00811DBF"/>
    <w:rsid w:val="008134B2"/>
    <w:rsid w:val="00825C3F"/>
    <w:rsid w:val="008270A0"/>
    <w:rsid w:val="00835B01"/>
    <w:rsid w:val="00851F57"/>
    <w:rsid w:val="00864070"/>
    <w:rsid w:val="00880003"/>
    <w:rsid w:val="008A58C1"/>
    <w:rsid w:val="008A6BC8"/>
    <w:rsid w:val="008A7653"/>
    <w:rsid w:val="008B5EA3"/>
    <w:rsid w:val="008C2803"/>
    <w:rsid w:val="008E0013"/>
    <w:rsid w:val="008E7027"/>
    <w:rsid w:val="008F477E"/>
    <w:rsid w:val="00910D73"/>
    <w:rsid w:val="00916BC1"/>
    <w:rsid w:val="009260B6"/>
    <w:rsid w:val="00930173"/>
    <w:rsid w:val="00945445"/>
    <w:rsid w:val="009731E1"/>
    <w:rsid w:val="00986903"/>
    <w:rsid w:val="009E2536"/>
    <w:rsid w:val="00A05945"/>
    <w:rsid w:val="00A16150"/>
    <w:rsid w:val="00A206C4"/>
    <w:rsid w:val="00A25277"/>
    <w:rsid w:val="00A4525A"/>
    <w:rsid w:val="00A455FF"/>
    <w:rsid w:val="00A469E0"/>
    <w:rsid w:val="00AD61C4"/>
    <w:rsid w:val="00AE2024"/>
    <w:rsid w:val="00BD6597"/>
    <w:rsid w:val="00C30C3E"/>
    <w:rsid w:val="00C3191A"/>
    <w:rsid w:val="00C61EF5"/>
    <w:rsid w:val="00CC6F88"/>
    <w:rsid w:val="00CC746A"/>
    <w:rsid w:val="00CF1AB0"/>
    <w:rsid w:val="00D0569F"/>
    <w:rsid w:val="00D14020"/>
    <w:rsid w:val="00D3530E"/>
    <w:rsid w:val="00D376B1"/>
    <w:rsid w:val="00DB4488"/>
    <w:rsid w:val="00DC66CD"/>
    <w:rsid w:val="00DD0FC2"/>
    <w:rsid w:val="00E00185"/>
    <w:rsid w:val="00E304F0"/>
    <w:rsid w:val="00E34B24"/>
    <w:rsid w:val="00E65162"/>
    <w:rsid w:val="00E66F0C"/>
    <w:rsid w:val="00E90827"/>
    <w:rsid w:val="00EB7FFC"/>
    <w:rsid w:val="00ED1888"/>
    <w:rsid w:val="00ED4733"/>
    <w:rsid w:val="00F24944"/>
    <w:rsid w:val="00F343DF"/>
    <w:rsid w:val="00F513BD"/>
    <w:rsid w:val="00F71C7D"/>
    <w:rsid w:val="00F965CC"/>
    <w:rsid w:val="00FA5C26"/>
    <w:rsid w:val="00FB4325"/>
    <w:rsid w:val="00FC549A"/>
    <w:rsid w:val="00FC5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935F7"/>
    <w:pPr>
      <w:tabs>
        <w:tab w:val="center" w:pos="4680"/>
        <w:tab w:val="right" w:pos="9360"/>
      </w:tabs>
      <w:spacing w:after="0" w:line="240" w:lineRule="auto"/>
    </w:pPr>
  </w:style>
  <w:style w:type="character" w:customStyle="1" w:styleId="HeaderChar">
    <w:name w:val="Header Char"/>
    <w:basedOn w:val="DefaultParagraphFont"/>
    <w:link w:val="Header"/>
    <w:rsid w:val="004935F7"/>
  </w:style>
  <w:style w:type="paragraph" w:styleId="Footer">
    <w:name w:val="footer"/>
    <w:basedOn w:val="Normal"/>
    <w:link w:val="FooterChar"/>
    <w:uiPriority w:val="99"/>
    <w:unhideWhenUsed/>
    <w:rsid w:val="0049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F7"/>
  </w:style>
  <w:style w:type="character" w:styleId="CommentReference">
    <w:name w:val="annotation reference"/>
    <w:basedOn w:val="DefaultParagraphFont"/>
    <w:uiPriority w:val="99"/>
    <w:semiHidden/>
    <w:unhideWhenUsed/>
    <w:rsid w:val="004935F7"/>
    <w:rPr>
      <w:sz w:val="16"/>
      <w:szCs w:val="16"/>
    </w:rPr>
  </w:style>
  <w:style w:type="paragraph" w:styleId="CommentText">
    <w:name w:val="annotation text"/>
    <w:aliases w:val="Comment Text-JWA,Comment Text-AXYS2,Comment Text-AXYS21,Comment Text-AXYS22,Comment Text-AXYS211,Comment Text-AXYS23,Comment Text-AXYS212,Comment Text-AXYS24,Comment Text-AXYS213,Comment Text-AXYS25,Comment Text-AXYS214,Comment Text-AXYS26"/>
    <w:basedOn w:val="Normal"/>
    <w:link w:val="CommentTextChar"/>
    <w:uiPriority w:val="99"/>
    <w:unhideWhenUsed/>
    <w:rsid w:val="004935F7"/>
    <w:pPr>
      <w:spacing w:line="240" w:lineRule="auto"/>
    </w:pPr>
    <w:rPr>
      <w:sz w:val="20"/>
      <w:szCs w:val="20"/>
    </w:rPr>
  </w:style>
  <w:style w:type="character" w:customStyle="1" w:styleId="CommentTextChar">
    <w:name w:val="Comment Text Char"/>
    <w:aliases w:val="Comment Text-JWA Char,Comment Text-AXYS2 Char,Comment Text-AXYS21 Char,Comment Text-AXYS22 Char,Comment Text-AXYS211 Char,Comment Text-AXYS23 Char,Comment Text-AXYS212 Char,Comment Text-AXYS24 Char,Comment Text-AXYS213 Char"/>
    <w:basedOn w:val="DefaultParagraphFont"/>
    <w:link w:val="CommentText"/>
    <w:uiPriority w:val="99"/>
    <w:rsid w:val="004935F7"/>
    <w:rPr>
      <w:sz w:val="20"/>
      <w:szCs w:val="20"/>
    </w:rPr>
  </w:style>
  <w:style w:type="paragraph" w:styleId="CommentSubject">
    <w:name w:val="annotation subject"/>
    <w:basedOn w:val="CommentText"/>
    <w:next w:val="CommentText"/>
    <w:link w:val="CommentSubjectChar"/>
    <w:uiPriority w:val="99"/>
    <w:semiHidden/>
    <w:unhideWhenUsed/>
    <w:rsid w:val="004935F7"/>
    <w:rPr>
      <w:b/>
      <w:bCs/>
    </w:rPr>
  </w:style>
  <w:style w:type="character" w:customStyle="1" w:styleId="CommentSubjectChar">
    <w:name w:val="Comment Subject Char"/>
    <w:basedOn w:val="CommentTextChar"/>
    <w:link w:val="CommentSubject"/>
    <w:uiPriority w:val="99"/>
    <w:semiHidden/>
    <w:rsid w:val="004935F7"/>
    <w:rPr>
      <w:b/>
      <w:bCs/>
      <w:sz w:val="20"/>
      <w:szCs w:val="20"/>
    </w:rPr>
  </w:style>
  <w:style w:type="paragraph" w:styleId="BalloonText">
    <w:name w:val="Balloon Text"/>
    <w:basedOn w:val="Normal"/>
    <w:link w:val="BalloonTextChar"/>
    <w:uiPriority w:val="99"/>
    <w:semiHidden/>
    <w:unhideWhenUsed/>
    <w:rsid w:val="0049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F7"/>
    <w:rPr>
      <w:rFonts w:ascii="Segoe UI" w:hAnsi="Segoe UI" w:cs="Segoe UI"/>
      <w:sz w:val="18"/>
      <w:szCs w:val="18"/>
    </w:rPr>
  </w:style>
  <w:style w:type="paragraph" w:styleId="ListParagraph">
    <w:name w:val="List Paragraph"/>
    <w:basedOn w:val="Normal"/>
    <w:uiPriority w:val="34"/>
    <w:qFormat/>
    <w:rsid w:val="00A16150"/>
    <w:pPr>
      <w:ind w:left="720"/>
      <w:contextualSpacing/>
    </w:pPr>
  </w:style>
  <w:style w:type="paragraph" w:styleId="NoSpacing">
    <w:name w:val="No Spacing"/>
    <w:uiPriority w:val="1"/>
    <w:qFormat/>
    <w:rsid w:val="00245283"/>
    <w:pPr>
      <w:spacing w:after="0" w:line="240" w:lineRule="auto"/>
    </w:pPr>
  </w:style>
  <w:style w:type="paragraph" w:customStyle="1" w:styleId="CM12">
    <w:name w:val="CM12"/>
    <w:basedOn w:val="Normal"/>
    <w:next w:val="Normal"/>
    <w:rsid w:val="00F71C7D"/>
    <w:pPr>
      <w:widowControl w:val="0"/>
      <w:autoSpaceDE w:val="0"/>
      <w:autoSpaceDN w:val="0"/>
      <w:adjustRightInd w:val="0"/>
      <w:snapToGrid w:val="0"/>
      <w:spacing w:after="0" w:line="233" w:lineRule="atLeast"/>
      <w:jc w:val="both"/>
    </w:pPr>
    <w:rPr>
      <w:rFonts w:ascii="Trebuchet MS" w:eastAsia="Times New Roman" w:hAnsi="Trebuchet MS" w:cs="Times New Roman"/>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935F7"/>
    <w:pPr>
      <w:tabs>
        <w:tab w:val="center" w:pos="4680"/>
        <w:tab w:val="right" w:pos="9360"/>
      </w:tabs>
      <w:spacing w:after="0" w:line="240" w:lineRule="auto"/>
    </w:pPr>
  </w:style>
  <w:style w:type="character" w:customStyle="1" w:styleId="HeaderChar">
    <w:name w:val="Header Char"/>
    <w:basedOn w:val="DefaultParagraphFont"/>
    <w:link w:val="Header"/>
    <w:rsid w:val="004935F7"/>
  </w:style>
  <w:style w:type="paragraph" w:styleId="Footer">
    <w:name w:val="footer"/>
    <w:basedOn w:val="Normal"/>
    <w:link w:val="FooterChar"/>
    <w:uiPriority w:val="99"/>
    <w:unhideWhenUsed/>
    <w:rsid w:val="0049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F7"/>
  </w:style>
  <w:style w:type="character" w:styleId="CommentReference">
    <w:name w:val="annotation reference"/>
    <w:basedOn w:val="DefaultParagraphFont"/>
    <w:uiPriority w:val="99"/>
    <w:semiHidden/>
    <w:unhideWhenUsed/>
    <w:rsid w:val="004935F7"/>
    <w:rPr>
      <w:sz w:val="16"/>
      <w:szCs w:val="16"/>
    </w:rPr>
  </w:style>
  <w:style w:type="paragraph" w:styleId="CommentText">
    <w:name w:val="annotation text"/>
    <w:aliases w:val="Comment Text-JWA,Comment Text-AXYS2,Comment Text-AXYS21,Comment Text-AXYS22,Comment Text-AXYS211,Comment Text-AXYS23,Comment Text-AXYS212,Comment Text-AXYS24,Comment Text-AXYS213,Comment Text-AXYS25,Comment Text-AXYS214,Comment Text-AXYS26"/>
    <w:basedOn w:val="Normal"/>
    <w:link w:val="CommentTextChar"/>
    <w:uiPriority w:val="99"/>
    <w:unhideWhenUsed/>
    <w:rsid w:val="004935F7"/>
    <w:pPr>
      <w:spacing w:line="240" w:lineRule="auto"/>
    </w:pPr>
    <w:rPr>
      <w:sz w:val="20"/>
      <w:szCs w:val="20"/>
    </w:rPr>
  </w:style>
  <w:style w:type="character" w:customStyle="1" w:styleId="CommentTextChar">
    <w:name w:val="Comment Text Char"/>
    <w:aliases w:val="Comment Text-JWA Char,Comment Text-AXYS2 Char,Comment Text-AXYS21 Char,Comment Text-AXYS22 Char,Comment Text-AXYS211 Char,Comment Text-AXYS23 Char,Comment Text-AXYS212 Char,Comment Text-AXYS24 Char,Comment Text-AXYS213 Char"/>
    <w:basedOn w:val="DefaultParagraphFont"/>
    <w:link w:val="CommentText"/>
    <w:uiPriority w:val="99"/>
    <w:rsid w:val="004935F7"/>
    <w:rPr>
      <w:sz w:val="20"/>
      <w:szCs w:val="20"/>
    </w:rPr>
  </w:style>
  <w:style w:type="paragraph" w:styleId="CommentSubject">
    <w:name w:val="annotation subject"/>
    <w:basedOn w:val="CommentText"/>
    <w:next w:val="CommentText"/>
    <w:link w:val="CommentSubjectChar"/>
    <w:uiPriority w:val="99"/>
    <w:semiHidden/>
    <w:unhideWhenUsed/>
    <w:rsid w:val="004935F7"/>
    <w:rPr>
      <w:b/>
      <w:bCs/>
    </w:rPr>
  </w:style>
  <w:style w:type="character" w:customStyle="1" w:styleId="CommentSubjectChar">
    <w:name w:val="Comment Subject Char"/>
    <w:basedOn w:val="CommentTextChar"/>
    <w:link w:val="CommentSubject"/>
    <w:uiPriority w:val="99"/>
    <w:semiHidden/>
    <w:rsid w:val="004935F7"/>
    <w:rPr>
      <w:b/>
      <w:bCs/>
      <w:sz w:val="20"/>
      <w:szCs w:val="20"/>
    </w:rPr>
  </w:style>
  <w:style w:type="paragraph" w:styleId="BalloonText">
    <w:name w:val="Balloon Text"/>
    <w:basedOn w:val="Normal"/>
    <w:link w:val="BalloonTextChar"/>
    <w:uiPriority w:val="99"/>
    <w:semiHidden/>
    <w:unhideWhenUsed/>
    <w:rsid w:val="0049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F7"/>
    <w:rPr>
      <w:rFonts w:ascii="Segoe UI" w:hAnsi="Segoe UI" w:cs="Segoe UI"/>
      <w:sz w:val="18"/>
      <w:szCs w:val="18"/>
    </w:rPr>
  </w:style>
  <w:style w:type="paragraph" w:styleId="ListParagraph">
    <w:name w:val="List Paragraph"/>
    <w:basedOn w:val="Normal"/>
    <w:uiPriority w:val="34"/>
    <w:qFormat/>
    <w:rsid w:val="00A16150"/>
    <w:pPr>
      <w:ind w:left="720"/>
      <w:contextualSpacing/>
    </w:pPr>
  </w:style>
  <w:style w:type="paragraph" w:styleId="NoSpacing">
    <w:name w:val="No Spacing"/>
    <w:uiPriority w:val="1"/>
    <w:qFormat/>
    <w:rsid w:val="00245283"/>
    <w:pPr>
      <w:spacing w:after="0" w:line="240" w:lineRule="auto"/>
    </w:pPr>
  </w:style>
  <w:style w:type="paragraph" w:customStyle="1" w:styleId="CM12">
    <w:name w:val="CM12"/>
    <w:basedOn w:val="Normal"/>
    <w:next w:val="Normal"/>
    <w:rsid w:val="00F71C7D"/>
    <w:pPr>
      <w:widowControl w:val="0"/>
      <w:autoSpaceDE w:val="0"/>
      <w:autoSpaceDN w:val="0"/>
      <w:adjustRightInd w:val="0"/>
      <w:snapToGrid w:val="0"/>
      <w:spacing w:after="0" w:line="233" w:lineRule="atLeast"/>
      <w:jc w:val="both"/>
    </w:pPr>
    <w:rPr>
      <w:rFonts w:ascii="Trebuchet MS" w:eastAsia="Times New Roman" w:hAnsi="Trebuchet MS" w:cs="Times New Roman"/>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277">
      <w:bodyDiv w:val="1"/>
      <w:marLeft w:val="0"/>
      <w:marRight w:val="0"/>
      <w:marTop w:val="0"/>
      <w:marBottom w:val="0"/>
      <w:divBdr>
        <w:top w:val="none" w:sz="0" w:space="0" w:color="auto"/>
        <w:left w:val="none" w:sz="0" w:space="0" w:color="auto"/>
        <w:bottom w:val="none" w:sz="0" w:space="0" w:color="auto"/>
        <w:right w:val="none" w:sz="0" w:space="0" w:color="auto"/>
      </w:divBdr>
    </w:div>
    <w:div w:id="373584625">
      <w:bodyDiv w:val="1"/>
      <w:marLeft w:val="0"/>
      <w:marRight w:val="0"/>
      <w:marTop w:val="0"/>
      <w:marBottom w:val="0"/>
      <w:divBdr>
        <w:top w:val="none" w:sz="0" w:space="0" w:color="auto"/>
        <w:left w:val="none" w:sz="0" w:space="0" w:color="auto"/>
        <w:bottom w:val="none" w:sz="0" w:space="0" w:color="auto"/>
        <w:right w:val="none" w:sz="0" w:space="0" w:color="auto"/>
      </w:divBdr>
    </w:div>
    <w:div w:id="576743941">
      <w:bodyDiv w:val="1"/>
      <w:marLeft w:val="0"/>
      <w:marRight w:val="0"/>
      <w:marTop w:val="0"/>
      <w:marBottom w:val="0"/>
      <w:divBdr>
        <w:top w:val="none" w:sz="0" w:space="0" w:color="auto"/>
        <w:left w:val="none" w:sz="0" w:space="0" w:color="auto"/>
        <w:bottom w:val="none" w:sz="0" w:space="0" w:color="auto"/>
        <w:right w:val="none" w:sz="0" w:space="0" w:color="auto"/>
      </w:divBdr>
    </w:div>
    <w:div w:id="713847216">
      <w:bodyDiv w:val="1"/>
      <w:marLeft w:val="0"/>
      <w:marRight w:val="0"/>
      <w:marTop w:val="0"/>
      <w:marBottom w:val="0"/>
      <w:divBdr>
        <w:top w:val="none" w:sz="0" w:space="0" w:color="auto"/>
        <w:left w:val="none" w:sz="0" w:space="0" w:color="auto"/>
        <w:bottom w:val="none" w:sz="0" w:space="0" w:color="auto"/>
        <w:right w:val="none" w:sz="0" w:space="0" w:color="auto"/>
      </w:divBdr>
    </w:div>
    <w:div w:id="19720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Jastrebski</dc:creator>
  <cp:lastModifiedBy>Manami Kimura</cp:lastModifiedBy>
  <cp:revision>3</cp:revision>
  <cp:lastPrinted>2016-11-17T18:19:00Z</cp:lastPrinted>
  <dcterms:created xsi:type="dcterms:W3CDTF">2016-11-17T18:19:00Z</dcterms:created>
  <dcterms:modified xsi:type="dcterms:W3CDTF">2016-11-17T18:19:00Z</dcterms:modified>
</cp:coreProperties>
</file>