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DEEE0B" w14:textId="7BFB9C79" w:rsidR="004935F7" w:rsidRPr="008E0013" w:rsidRDefault="004935F7" w:rsidP="008F477E">
      <w:pPr>
        <w:spacing w:after="240" w:line="240" w:lineRule="auto"/>
        <w:rPr>
          <w:rFonts w:ascii="Arial" w:hAnsi="Arial" w:cs="Arial"/>
          <w:b/>
          <w:sz w:val="20"/>
          <w:szCs w:val="20"/>
        </w:rPr>
      </w:pPr>
      <w:r w:rsidRPr="008E0013">
        <w:rPr>
          <w:rFonts w:ascii="Arial" w:hAnsi="Arial" w:cs="Arial"/>
          <w:b/>
          <w:sz w:val="20"/>
          <w:szCs w:val="20"/>
        </w:rPr>
        <w:t xml:space="preserve">Response to Comments from Draft Report Version (as Received </w:t>
      </w:r>
      <w:r w:rsidR="004B4CC0">
        <w:rPr>
          <w:rFonts w:ascii="Arial" w:hAnsi="Arial" w:cs="Arial"/>
          <w:b/>
          <w:sz w:val="20"/>
          <w:szCs w:val="20"/>
        </w:rPr>
        <w:t>January, 2016</w:t>
      </w:r>
      <w:r w:rsidR="008E0013">
        <w:rPr>
          <w:rFonts w:ascii="Arial" w:hAnsi="Arial" w:cs="Arial"/>
          <w:b/>
          <w:sz w:val="20"/>
          <w:szCs w:val="20"/>
        </w:rPr>
        <w:t>)</w:t>
      </w:r>
    </w:p>
    <w:tbl>
      <w:tblPr>
        <w:tblStyle w:val="TableGrid"/>
        <w:tblW w:w="12960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70"/>
        <w:gridCol w:w="720"/>
        <w:gridCol w:w="5040"/>
        <w:gridCol w:w="6030"/>
      </w:tblGrid>
      <w:tr w:rsidR="007E517D" w:rsidRPr="00C3191A" w14:paraId="68E910B0" w14:textId="77777777" w:rsidTr="008F477E">
        <w:trPr>
          <w:cantSplit/>
          <w:jc w:val="center"/>
        </w:trPr>
        <w:tc>
          <w:tcPr>
            <w:tcW w:w="1170" w:type="dxa"/>
            <w:shd w:val="clear" w:color="auto" w:fill="73C6A1" w:themeFill="accent1"/>
            <w:vAlign w:val="center"/>
          </w:tcPr>
          <w:p w14:paraId="655EFED3" w14:textId="77777777" w:rsidR="007E517D" w:rsidRPr="004935F7" w:rsidRDefault="007E517D" w:rsidP="008F477E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35F7">
              <w:rPr>
                <w:rFonts w:ascii="Arial" w:hAnsi="Arial" w:cs="Arial"/>
                <w:b/>
                <w:sz w:val="18"/>
                <w:szCs w:val="18"/>
              </w:rPr>
              <w:t>Comment No.</w:t>
            </w:r>
          </w:p>
        </w:tc>
        <w:tc>
          <w:tcPr>
            <w:tcW w:w="720" w:type="dxa"/>
            <w:shd w:val="clear" w:color="auto" w:fill="73C6A1" w:themeFill="accent1"/>
            <w:vAlign w:val="center"/>
          </w:tcPr>
          <w:p w14:paraId="0862D4E6" w14:textId="77777777" w:rsidR="007E517D" w:rsidRPr="004935F7" w:rsidRDefault="007E517D" w:rsidP="008F477E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35F7">
              <w:rPr>
                <w:rFonts w:ascii="Arial" w:hAnsi="Arial" w:cs="Arial"/>
                <w:b/>
                <w:sz w:val="18"/>
                <w:szCs w:val="18"/>
              </w:rPr>
              <w:t>Page</w:t>
            </w:r>
          </w:p>
        </w:tc>
        <w:tc>
          <w:tcPr>
            <w:tcW w:w="5040" w:type="dxa"/>
            <w:shd w:val="clear" w:color="auto" w:fill="73C6A1" w:themeFill="accent1"/>
            <w:vAlign w:val="center"/>
          </w:tcPr>
          <w:p w14:paraId="528E32C7" w14:textId="77777777" w:rsidR="007E517D" w:rsidRPr="004935F7" w:rsidRDefault="007E517D" w:rsidP="008F477E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35F7">
              <w:rPr>
                <w:rFonts w:ascii="Arial" w:hAnsi="Arial" w:cs="Arial"/>
                <w:b/>
                <w:sz w:val="18"/>
                <w:szCs w:val="18"/>
              </w:rPr>
              <w:t>Comment</w:t>
            </w:r>
          </w:p>
        </w:tc>
        <w:tc>
          <w:tcPr>
            <w:tcW w:w="6030" w:type="dxa"/>
            <w:shd w:val="clear" w:color="auto" w:fill="73C6A1" w:themeFill="accent1"/>
            <w:vAlign w:val="center"/>
          </w:tcPr>
          <w:p w14:paraId="343ED11D" w14:textId="77777777" w:rsidR="007E517D" w:rsidRPr="004935F7" w:rsidRDefault="007E517D" w:rsidP="008F477E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35F7">
              <w:rPr>
                <w:rFonts w:ascii="Arial" w:hAnsi="Arial" w:cs="Arial"/>
                <w:b/>
                <w:sz w:val="18"/>
                <w:szCs w:val="18"/>
              </w:rPr>
              <w:t>Response</w:t>
            </w:r>
          </w:p>
        </w:tc>
      </w:tr>
      <w:tr w:rsidR="00C25DB8" w:rsidRPr="00C3191A" w14:paraId="7DBDFB6D" w14:textId="77777777" w:rsidTr="008F477E">
        <w:trPr>
          <w:cantSplit/>
          <w:jc w:val="center"/>
        </w:trPr>
        <w:tc>
          <w:tcPr>
            <w:tcW w:w="1170" w:type="dxa"/>
            <w:vAlign w:val="center"/>
          </w:tcPr>
          <w:p w14:paraId="503210E5" w14:textId="215948CD" w:rsidR="00C25DB8" w:rsidRPr="00FA07F1" w:rsidRDefault="008B70DA" w:rsidP="008F477E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20" w:type="dxa"/>
            <w:vAlign w:val="center"/>
          </w:tcPr>
          <w:p w14:paraId="2BBEFCAE" w14:textId="794A955E" w:rsidR="00C25DB8" w:rsidRPr="00FA07F1" w:rsidRDefault="008B70DA" w:rsidP="008F477E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040" w:type="dxa"/>
            <w:vAlign w:val="center"/>
          </w:tcPr>
          <w:p w14:paraId="58F070BB" w14:textId="53D442FC" w:rsidR="00C25DB8" w:rsidRPr="00C77585" w:rsidRDefault="008B70DA" w:rsidP="00C77585">
            <w:pPr>
              <w:rPr>
                <w:rFonts w:ascii="Arial" w:hAnsi="Arial" w:cs="Arial"/>
                <w:sz w:val="16"/>
                <w:szCs w:val="16"/>
              </w:rPr>
            </w:pPr>
            <w:r w:rsidRPr="00C77585">
              <w:rPr>
                <w:rFonts w:ascii="Arial" w:hAnsi="Arial" w:cs="Arial"/>
                <w:sz w:val="16"/>
                <w:szCs w:val="16"/>
              </w:rPr>
              <w:t xml:space="preserve">Just to note to Hemmera that this report will likely be distributed by AAM to other parties (i.e. either public or private) and that those parties may use the data/finding in this report.  </w:t>
            </w:r>
          </w:p>
        </w:tc>
        <w:tc>
          <w:tcPr>
            <w:tcW w:w="6030" w:type="dxa"/>
            <w:vAlign w:val="center"/>
          </w:tcPr>
          <w:p w14:paraId="6511FA58" w14:textId="60E24205" w:rsidR="00C25DB8" w:rsidRPr="00FA07F1" w:rsidRDefault="00BE5CF1" w:rsidP="00D228C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Sentence removed.</w:t>
            </w:r>
            <w:r w:rsidR="00D228C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25DB8" w:rsidRPr="00C3191A" w14:paraId="70172C32" w14:textId="77777777" w:rsidTr="008F477E">
        <w:trPr>
          <w:cantSplit/>
          <w:jc w:val="center"/>
        </w:trPr>
        <w:tc>
          <w:tcPr>
            <w:tcW w:w="1170" w:type="dxa"/>
            <w:vAlign w:val="center"/>
          </w:tcPr>
          <w:p w14:paraId="7C636F4B" w14:textId="111AA866" w:rsidR="00C25DB8" w:rsidRPr="00FA07F1" w:rsidRDefault="008B70DA" w:rsidP="008F477E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20" w:type="dxa"/>
            <w:vAlign w:val="center"/>
          </w:tcPr>
          <w:p w14:paraId="0DB18344" w14:textId="493BA690" w:rsidR="00C25DB8" w:rsidRPr="00FA07F1" w:rsidRDefault="008B70DA" w:rsidP="008F477E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040" w:type="dxa"/>
            <w:vAlign w:val="center"/>
          </w:tcPr>
          <w:p w14:paraId="6E057448" w14:textId="1071B44A" w:rsidR="00C25DB8" w:rsidRPr="00FA07F1" w:rsidRDefault="008B70DA" w:rsidP="003537E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Was the electric hydrolift method not possible?</w:t>
            </w:r>
          </w:p>
        </w:tc>
        <w:tc>
          <w:tcPr>
            <w:tcW w:w="6030" w:type="dxa"/>
            <w:vAlign w:val="center"/>
          </w:tcPr>
          <w:p w14:paraId="624AF147" w14:textId="097555DD" w:rsidR="00C25DB8" w:rsidRPr="005E1E77" w:rsidRDefault="008B70DA" w:rsidP="008B70DA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5E1E77">
              <w:rPr>
                <w:rFonts w:ascii="Arial" w:hAnsi="Arial" w:cs="Arial"/>
                <w:sz w:val="16"/>
                <w:szCs w:val="16"/>
              </w:rPr>
              <w:t>It was not possible to use the hydrolift during the February 2016 samplin</w:t>
            </w:r>
            <w:r w:rsidR="005E1E77">
              <w:rPr>
                <w:rFonts w:ascii="Arial" w:hAnsi="Arial" w:cs="Arial"/>
                <w:sz w:val="16"/>
                <w:szCs w:val="16"/>
              </w:rPr>
              <w:t>g event due to site conditions. The primary wells on which the hydrolift is generally used are in the pit area, which was inaccessible due to safety concerns.</w:t>
            </w:r>
            <w:r w:rsidRPr="005E1E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25DB8" w:rsidRPr="00C3191A" w14:paraId="242F3B37" w14:textId="77777777" w:rsidTr="008F477E">
        <w:trPr>
          <w:cantSplit/>
          <w:jc w:val="center"/>
        </w:trPr>
        <w:tc>
          <w:tcPr>
            <w:tcW w:w="1170" w:type="dxa"/>
            <w:vAlign w:val="center"/>
          </w:tcPr>
          <w:p w14:paraId="44078096" w14:textId="46BB0548" w:rsidR="00C25DB8" w:rsidRPr="00FA07F1" w:rsidRDefault="008B70DA" w:rsidP="008F477E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20" w:type="dxa"/>
            <w:vAlign w:val="center"/>
          </w:tcPr>
          <w:p w14:paraId="6EDCCF3C" w14:textId="2C42A3AB" w:rsidR="00C25DB8" w:rsidRPr="00FA07F1" w:rsidRDefault="005E1E77" w:rsidP="008F477E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5040" w:type="dxa"/>
            <w:vAlign w:val="center"/>
          </w:tcPr>
          <w:p w14:paraId="28071B59" w14:textId="40F96730" w:rsidR="00C25DB8" w:rsidRPr="00FA07F1" w:rsidRDefault="005E1E77" w:rsidP="008F477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This note does not make sense (i.e. related to destroyed well)</w:t>
            </w:r>
          </w:p>
        </w:tc>
        <w:tc>
          <w:tcPr>
            <w:tcW w:w="6030" w:type="dxa"/>
            <w:vAlign w:val="center"/>
          </w:tcPr>
          <w:p w14:paraId="33B0E433" w14:textId="3AF877C7" w:rsidR="00C25DB8" w:rsidRPr="005E1E77" w:rsidRDefault="005E1E77" w:rsidP="008D28D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The note has been removed and other notes checked. </w:t>
            </w:r>
          </w:p>
        </w:tc>
      </w:tr>
      <w:tr w:rsidR="00C25DB8" w:rsidRPr="00C3191A" w14:paraId="141D7BF1" w14:textId="77777777" w:rsidTr="008F477E">
        <w:trPr>
          <w:cantSplit/>
          <w:jc w:val="center"/>
        </w:trPr>
        <w:tc>
          <w:tcPr>
            <w:tcW w:w="1170" w:type="dxa"/>
            <w:vAlign w:val="center"/>
          </w:tcPr>
          <w:p w14:paraId="42FF79C8" w14:textId="0FC665CA" w:rsidR="00C25DB8" w:rsidRPr="00FA07F1" w:rsidRDefault="008B70DA" w:rsidP="008F477E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20" w:type="dxa"/>
            <w:vAlign w:val="center"/>
          </w:tcPr>
          <w:p w14:paraId="5DEFCE76" w14:textId="4499853E" w:rsidR="00C25DB8" w:rsidRPr="00FA07F1" w:rsidRDefault="00B62A60" w:rsidP="008F477E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5040" w:type="dxa"/>
            <w:vAlign w:val="center"/>
          </w:tcPr>
          <w:p w14:paraId="53D078C8" w14:textId="63A35439" w:rsidR="00C25DB8" w:rsidRPr="00FA07F1" w:rsidRDefault="00B62A60" w:rsidP="008F477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note? I think this may be a formatting/editing error.</w:t>
            </w:r>
          </w:p>
        </w:tc>
        <w:tc>
          <w:tcPr>
            <w:tcW w:w="6030" w:type="dxa"/>
            <w:vAlign w:val="center"/>
          </w:tcPr>
          <w:p w14:paraId="7FB66A6B" w14:textId="537928A9" w:rsidR="00C25DB8" w:rsidRPr="00B62A60" w:rsidRDefault="00B62A60" w:rsidP="008D28D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B62A60">
              <w:rPr>
                <w:rFonts w:ascii="Arial" w:hAnsi="Arial" w:cs="Arial"/>
                <w:sz w:val="16"/>
                <w:szCs w:val="16"/>
              </w:rPr>
              <w:t xml:space="preserve">Correct </w:t>
            </w:r>
            <w:r w:rsidR="00BE5CF1">
              <w:rPr>
                <w:rFonts w:ascii="Arial" w:hAnsi="Arial" w:cs="Arial"/>
                <w:sz w:val="16"/>
                <w:szCs w:val="16"/>
              </w:rPr>
              <w:t>notes have been added for these</w:t>
            </w:r>
            <w:bookmarkStart w:id="0" w:name="_GoBack"/>
            <w:bookmarkEnd w:id="0"/>
            <w:r w:rsidRPr="00B62A60">
              <w:rPr>
                <w:rFonts w:ascii="Arial" w:hAnsi="Arial" w:cs="Arial"/>
                <w:sz w:val="16"/>
                <w:szCs w:val="16"/>
              </w:rPr>
              <w:t xml:space="preserve"> sites. </w:t>
            </w:r>
          </w:p>
        </w:tc>
      </w:tr>
      <w:tr w:rsidR="00C25DB8" w:rsidRPr="00C3191A" w14:paraId="6EB1B5DC" w14:textId="77777777" w:rsidTr="008F477E">
        <w:trPr>
          <w:cantSplit/>
          <w:jc w:val="center"/>
        </w:trPr>
        <w:tc>
          <w:tcPr>
            <w:tcW w:w="1170" w:type="dxa"/>
            <w:vAlign w:val="center"/>
          </w:tcPr>
          <w:p w14:paraId="4A2883C6" w14:textId="7D7D224B" w:rsidR="00C25DB8" w:rsidRPr="00FA07F1" w:rsidRDefault="00B62A60" w:rsidP="008F477E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20" w:type="dxa"/>
            <w:vAlign w:val="center"/>
          </w:tcPr>
          <w:p w14:paraId="0F5417C0" w14:textId="509967E0" w:rsidR="00C25DB8" w:rsidRPr="00FA07F1" w:rsidRDefault="00B62A60" w:rsidP="008F477E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5040" w:type="dxa"/>
            <w:vAlign w:val="center"/>
          </w:tcPr>
          <w:p w14:paraId="281FEBE8" w14:textId="2832D9BD" w:rsidR="00C25DB8" w:rsidRPr="00FA07F1" w:rsidRDefault="00B62A60" w:rsidP="008F477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 light grey; more like teal colour. Change colour or change description.</w:t>
            </w:r>
          </w:p>
        </w:tc>
        <w:tc>
          <w:tcPr>
            <w:tcW w:w="6030" w:type="dxa"/>
            <w:vAlign w:val="center"/>
          </w:tcPr>
          <w:p w14:paraId="6BA9DDDF" w14:textId="41D7E793" w:rsidR="00C25DB8" w:rsidRPr="00B62A60" w:rsidRDefault="00B62A60" w:rsidP="008D28D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B62A60">
              <w:rPr>
                <w:rFonts w:ascii="Arial" w:hAnsi="Arial" w:cs="Arial"/>
                <w:sz w:val="16"/>
                <w:szCs w:val="16"/>
              </w:rPr>
              <w:t xml:space="preserve">This was the result of a formatting change, and the description has now been updated. </w:t>
            </w:r>
          </w:p>
        </w:tc>
      </w:tr>
      <w:tr w:rsidR="00C25DB8" w:rsidRPr="00C3191A" w14:paraId="0F511770" w14:textId="77777777" w:rsidTr="008F477E">
        <w:trPr>
          <w:cantSplit/>
          <w:jc w:val="center"/>
        </w:trPr>
        <w:tc>
          <w:tcPr>
            <w:tcW w:w="1170" w:type="dxa"/>
            <w:vAlign w:val="center"/>
          </w:tcPr>
          <w:p w14:paraId="329AB0E2" w14:textId="1D8117B2" w:rsidR="00C25DB8" w:rsidRPr="00FA07F1" w:rsidRDefault="00B62A60" w:rsidP="008F477E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20" w:type="dxa"/>
            <w:vAlign w:val="center"/>
          </w:tcPr>
          <w:p w14:paraId="7380A098" w14:textId="7C76BC69" w:rsidR="00C25DB8" w:rsidRPr="00FA07F1" w:rsidRDefault="00B62A60" w:rsidP="008F477E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5040" w:type="dxa"/>
            <w:vAlign w:val="center"/>
          </w:tcPr>
          <w:p w14:paraId="289DE6E6" w14:textId="7227038C" w:rsidR="00C25DB8" w:rsidRPr="00FA07F1" w:rsidRDefault="00B62A60" w:rsidP="008F477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Why AU? I thought measurements would all be in NTU?</w:t>
            </w:r>
          </w:p>
        </w:tc>
        <w:tc>
          <w:tcPr>
            <w:tcW w:w="6030" w:type="dxa"/>
            <w:vAlign w:val="center"/>
          </w:tcPr>
          <w:p w14:paraId="4CAFCCD0" w14:textId="4AEF3B55" w:rsidR="00C25DB8" w:rsidRPr="00FA07F1" w:rsidRDefault="00B62A60" w:rsidP="00C77585">
            <w:pPr>
              <w:spacing w:before="60" w:after="6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C77585">
              <w:rPr>
                <w:rFonts w:ascii="Arial" w:hAnsi="Arial" w:cs="Arial"/>
                <w:sz w:val="16"/>
                <w:szCs w:val="16"/>
              </w:rPr>
              <w:t xml:space="preserve">The turbidity meters automatically switch from NTU to AU at approximately 1,000 NTU. This represents a change </w:t>
            </w:r>
            <w:r w:rsidR="00C77585" w:rsidRPr="00C77585">
              <w:rPr>
                <w:rFonts w:ascii="Arial" w:hAnsi="Arial" w:cs="Arial"/>
                <w:sz w:val="16"/>
                <w:szCs w:val="16"/>
              </w:rPr>
              <w:t>from measurements taken at 90 degrees to the light source to 180 degrees to the source, which provides a more accurate reading at higher turbidity levels. AUs are supposed to be comparable to NTU, but reflect only the difference in measurement technique.</w:t>
            </w:r>
            <w:r w:rsidR="00C77585">
              <w:rPr>
                <w:rFonts w:ascii="Arial" w:hAnsi="Arial" w:cs="Arial"/>
                <w:sz w:val="16"/>
                <w:szCs w:val="16"/>
              </w:rPr>
              <w:t xml:space="preserve"> A reference to AU has also been added in the methods section. </w:t>
            </w:r>
          </w:p>
        </w:tc>
      </w:tr>
    </w:tbl>
    <w:p w14:paraId="2221C3FB" w14:textId="77777777" w:rsidR="00E304F0" w:rsidRDefault="00E304F0" w:rsidP="00237FDC"/>
    <w:sectPr w:rsidR="00E304F0" w:rsidSect="004935F7">
      <w:head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DA3BE8" w14:textId="77777777" w:rsidR="0040407C" w:rsidRDefault="0040407C" w:rsidP="004935F7">
      <w:pPr>
        <w:spacing w:after="0" w:line="240" w:lineRule="auto"/>
      </w:pPr>
      <w:r>
        <w:separator/>
      </w:r>
    </w:p>
  </w:endnote>
  <w:endnote w:type="continuationSeparator" w:id="0">
    <w:p w14:paraId="50C83D54" w14:textId="77777777" w:rsidR="0040407C" w:rsidRDefault="0040407C" w:rsidP="00493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B18D3" w14:textId="77777777" w:rsidR="0040407C" w:rsidRDefault="0040407C" w:rsidP="004935F7">
      <w:pPr>
        <w:spacing w:after="0" w:line="240" w:lineRule="auto"/>
      </w:pPr>
      <w:r>
        <w:separator/>
      </w:r>
    </w:p>
  </w:footnote>
  <w:footnote w:type="continuationSeparator" w:id="0">
    <w:p w14:paraId="3FA2CC42" w14:textId="77777777" w:rsidR="0040407C" w:rsidRDefault="0040407C" w:rsidP="00493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87E18" w14:textId="77777777" w:rsidR="008F477E" w:rsidRPr="008F477E" w:rsidRDefault="00F343DF" w:rsidP="008F477E">
    <w:pPr>
      <w:pStyle w:val="Header"/>
      <w:tabs>
        <w:tab w:val="clear" w:pos="4680"/>
        <w:tab w:val="clear" w:pos="9360"/>
        <w:tab w:val="center" w:pos="6480"/>
        <w:tab w:val="right" w:pos="12960"/>
      </w:tabs>
      <w:rPr>
        <w:rFonts w:ascii="Arial" w:hAnsi="Arial" w:cs="Arial"/>
        <w:sz w:val="16"/>
      </w:rPr>
    </w:pPr>
    <w:r w:rsidRPr="00F343DF">
      <w:rPr>
        <w:rFonts w:ascii="Arial" w:hAnsi="Arial" w:cs="Arial"/>
        <w:sz w:val="16"/>
      </w:rPr>
      <w:t>Government of Yukon</w:t>
    </w:r>
    <w:r w:rsidR="008F477E" w:rsidRPr="008F477E">
      <w:rPr>
        <w:rFonts w:ascii="Arial" w:hAnsi="Arial" w:cs="Arial"/>
        <w:sz w:val="16"/>
      </w:rPr>
      <w:tab/>
    </w:r>
    <w:r w:rsidR="00580F89" w:rsidRPr="00580F89">
      <w:rPr>
        <w:rFonts w:ascii="Arial" w:hAnsi="Arial" w:cs="Arial"/>
        <w:b/>
        <w:sz w:val="16"/>
      </w:rPr>
      <w:t>APPENDIX D</w:t>
    </w:r>
    <w:r w:rsidR="008F477E" w:rsidRPr="008F477E">
      <w:rPr>
        <w:rFonts w:ascii="Arial" w:hAnsi="Arial" w:cs="Arial"/>
        <w:sz w:val="16"/>
      </w:rPr>
      <w:tab/>
      <w:t>Hemmera</w:t>
    </w:r>
  </w:p>
  <w:p w14:paraId="12FA2827" w14:textId="26A0296C" w:rsidR="008F477E" w:rsidRPr="008F477E" w:rsidRDefault="00CB7976" w:rsidP="008F477E">
    <w:pPr>
      <w:pStyle w:val="Header"/>
      <w:pBdr>
        <w:bottom w:val="single" w:sz="4" w:space="1" w:color="auto"/>
      </w:pBdr>
      <w:tabs>
        <w:tab w:val="clear" w:pos="4680"/>
        <w:tab w:val="clear" w:pos="9360"/>
        <w:tab w:val="center" w:pos="6480"/>
        <w:tab w:val="right" w:pos="1296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Mount Nansen </w:t>
    </w:r>
    <w:r w:rsidR="008B70DA">
      <w:rPr>
        <w:rFonts w:ascii="Arial" w:hAnsi="Arial" w:cs="Arial"/>
        <w:sz w:val="16"/>
      </w:rPr>
      <w:t>February 2016</w:t>
    </w:r>
    <w:r>
      <w:rPr>
        <w:rFonts w:ascii="Arial" w:hAnsi="Arial" w:cs="Arial"/>
        <w:sz w:val="16"/>
      </w:rPr>
      <w:t xml:space="preserve"> Groundwater Monitoring</w:t>
    </w:r>
    <w:r w:rsidR="008F477E" w:rsidRPr="008F477E">
      <w:rPr>
        <w:rFonts w:ascii="Arial" w:hAnsi="Arial" w:cs="Arial"/>
        <w:sz w:val="16"/>
      </w:rPr>
      <w:tab/>
      <w:t xml:space="preserve">- </w:t>
    </w:r>
    <w:r w:rsidR="008F477E" w:rsidRPr="008F477E">
      <w:rPr>
        <w:rFonts w:ascii="Arial" w:hAnsi="Arial" w:cs="Arial"/>
        <w:sz w:val="16"/>
      </w:rPr>
      <w:fldChar w:fldCharType="begin"/>
    </w:r>
    <w:r w:rsidR="008F477E" w:rsidRPr="008F477E">
      <w:rPr>
        <w:rFonts w:ascii="Arial" w:hAnsi="Arial" w:cs="Arial"/>
        <w:sz w:val="16"/>
      </w:rPr>
      <w:instrText xml:space="preserve"> PAGE </w:instrText>
    </w:r>
    <w:r w:rsidR="008F477E" w:rsidRPr="008F477E">
      <w:rPr>
        <w:rFonts w:ascii="Arial" w:hAnsi="Arial" w:cs="Arial"/>
        <w:sz w:val="16"/>
      </w:rPr>
      <w:fldChar w:fldCharType="separate"/>
    </w:r>
    <w:r w:rsidR="00BE5CF1">
      <w:rPr>
        <w:rFonts w:ascii="Arial" w:hAnsi="Arial" w:cs="Arial"/>
        <w:noProof/>
        <w:sz w:val="16"/>
      </w:rPr>
      <w:t>1</w:t>
    </w:r>
    <w:r w:rsidR="008F477E" w:rsidRPr="008F477E">
      <w:rPr>
        <w:rFonts w:ascii="Arial" w:hAnsi="Arial" w:cs="Arial"/>
        <w:noProof/>
        <w:sz w:val="16"/>
      </w:rPr>
      <w:fldChar w:fldCharType="end"/>
    </w:r>
    <w:r w:rsidR="00910D73">
      <w:rPr>
        <w:rFonts w:ascii="Arial" w:hAnsi="Arial" w:cs="Arial"/>
        <w:sz w:val="16"/>
      </w:rPr>
      <w:t xml:space="preserve"> -</w:t>
    </w:r>
    <w:r w:rsidR="00910D73">
      <w:rPr>
        <w:rFonts w:ascii="Arial" w:hAnsi="Arial" w:cs="Arial"/>
        <w:sz w:val="16"/>
      </w:rPr>
      <w:tab/>
    </w:r>
    <w:r w:rsidR="008B70DA">
      <w:rPr>
        <w:rFonts w:ascii="Arial" w:hAnsi="Arial" w:cs="Arial"/>
        <w:sz w:val="16"/>
      </w:rPr>
      <w:t>March</w:t>
    </w:r>
    <w:r>
      <w:rPr>
        <w:rFonts w:ascii="Arial" w:hAnsi="Arial" w:cs="Arial"/>
        <w:sz w:val="16"/>
      </w:rPr>
      <w:t xml:space="preserve">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80FC4"/>
    <w:multiLevelType w:val="hybridMultilevel"/>
    <w:tmpl w:val="A4D058F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4F0EE7"/>
    <w:multiLevelType w:val="hybridMultilevel"/>
    <w:tmpl w:val="A4D058F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91A"/>
    <w:rsid w:val="000300CD"/>
    <w:rsid w:val="00036B62"/>
    <w:rsid w:val="00094AB0"/>
    <w:rsid w:val="000B4D1E"/>
    <w:rsid w:val="000B4FD2"/>
    <w:rsid w:val="00107C04"/>
    <w:rsid w:val="00115132"/>
    <w:rsid w:val="001502F4"/>
    <w:rsid w:val="00153987"/>
    <w:rsid w:val="00154EEF"/>
    <w:rsid w:val="00170234"/>
    <w:rsid w:val="00177ADA"/>
    <w:rsid w:val="001D728C"/>
    <w:rsid w:val="00225414"/>
    <w:rsid w:val="00237FDC"/>
    <w:rsid w:val="002411C8"/>
    <w:rsid w:val="00245283"/>
    <w:rsid w:val="00251527"/>
    <w:rsid w:val="00253787"/>
    <w:rsid w:val="00257A1B"/>
    <w:rsid w:val="002C303D"/>
    <w:rsid w:val="002D1666"/>
    <w:rsid w:val="002D6211"/>
    <w:rsid w:val="002D7A4E"/>
    <w:rsid w:val="002F3D7A"/>
    <w:rsid w:val="00334CE2"/>
    <w:rsid w:val="003537EE"/>
    <w:rsid w:val="003A0240"/>
    <w:rsid w:val="003A5EC3"/>
    <w:rsid w:val="003B79D1"/>
    <w:rsid w:val="003D4D84"/>
    <w:rsid w:val="003E4039"/>
    <w:rsid w:val="003F3562"/>
    <w:rsid w:val="003F5C2B"/>
    <w:rsid w:val="00400C75"/>
    <w:rsid w:val="0040407C"/>
    <w:rsid w:val="00423AB7"/>
    <w:rsid w:val="00431947"/>
    <w:rsid w:val="0044252F"/>
    <w:rsid w:val="00451F75"/>
    <w:rsid w:val="00483967"/>
    <w:rsid w:val="004935F7"/>
    <w:rsid w:val="004A671D"/>
    <w:rsid w:val="004B2384"/>
    <w:rsid w:val="004B4CC0"/>
    <w:rsid w:val="004B7F3C"/>
    <w:rsid w:val="004E3858"/>
    <w:rsid w:val="004F5CBB"/>
    <w:rsid w:val="00510D70"/>
    <w:rsid w:val="005727D3"/>
    <w:rsid w:val="00580101"/>
    <w:rsid w:val="00580F89"/>
    <w:rsid w:val="00587BB5"/>
    <w:rsid w:val="005E1E77"/>
    <w:rsid w:val="005E6DB8"/>
    <w:rsid w:val="005F6457"/>
    <w:rsid w:val="00614BB3"/>
    <w:rsid w:val="00693E81"/>
    <w:rsid w:val="007138E4"/>
    <w:rsid w:val="007211AB"/>
    <w:rsid w:val="0075549C"/>
    <w:rsid w:val="007739D8"/>
    <w:rsid w:val="007B5159"/>
    <w:rsid w:val="007C5A65"/>
    <w:rsid w:val="007D4DE7"/>
    <w:rsid w:val="007D64E0"/>
    <w:rsid w:val="007E517D"/>
    <w:rsid w:val="008062C8"/>
    <w:rsid w:val="00811DBF"/>
    <w:rsid w:val="00825C3F"/>
    <w:rsid w:val="008270A0"/>
    <w:rsid w:val="00835B01"/>
    <w:rsid w:val="00851F57"/>
    <w:rsid w:val="00864070"/>
    <w:rsid w:val="00880003"/>
    <w:rsid w:val="008858FA"/>
    <w:rsid w:val="008A58C1"/>
    <w:rsid w:val="008A6BC8"/>
    <w:rsid w:val="008A7653"/>
    <w:rsid w:val="008B5EA3"/>
    <w:rsid w:val="008B70DA"/>
    <w:rsid w:val="008C2803"/>
    <w:rsid w:val="008D28D1"/>
    <w:rsid w:val="008E0013"/>
    <w:rsid w:val="008F477E"/>
    <w:rsid w:val="00910D73"/>
    <w:rsid w:val="00916BC1"/>
    <w:rsid w:val="009260B6"/>
    <w:rsid w:val="00930173"/>
    <w:rsid w:val="00945445"/>
    <w:rsid w:val="009731E1"/>
    <w:rsid w:val="00986903"/>
    <w:rsid w:val="00A05945"/>
    <w:rsid w:val="00A16150"/>
    <w:rsid w:val="00A206C4"/>
    <w:rsid w:val="00A25277"/>
    <w:rsid w:val="00A4525A"/>
    <w:rsid w:val="00A455FF"/>
    <w:rsid w:val="00A469E0"/>
    <w:rsid w:val="00AD61C4"/>
    <w:rsid w:val="00AE2024"/>
    <w:rsid w:val="00B62A60"/>
    <w:rsid w:val="00BD6597"/>
    <w:rsid w:val="00BE5CF1"/>
    <w:rsid w:val="00C25DB8"/>
    <w:rsid w:val="00C30C3E"/>
    <w:rsid w:val="00C3191A"/>
    <w:rsid w:val="00C448A3"/>
    <w:rsid w:val="00C77585"/>
    <w:rsid w:val="00CB7976"/>
    <w:rsid w:val="00CC6F88"/>
    <w:rsid w:val="00CC746A"/>
    <w:rsid w:val="00CF1AB0"/>
    <w:rsid w:val="00D0569F"/>
    <w:rsid w:val="00D14020"/>
    <w:rsid w:val="00D228CC"/>
    <w:rsid w:val="00D376B1"/>
    <w:rsid w:val="00D7471F"/>
    <w:rsid w:val="00DB4488"/>
    <w:rsid w:val="00DD0FC2"/>
    <w:rsid w:val="00E00185"/>
    <w:rsid w:val="00E304F0"/>
    <w:rsid w:val="00E34B24"/>
    <w:rsid w:val="00E65162"/>
    <w:rsid w:val="00E66F0C"/>
    <w:rsid w:val="00E7257F"/>
    <w:rsid w:val="00EB7FFC"/>
    <w:rsid w:val="00ED1888"/>
    <w:rsid w:val="00ED4733"/>
    <w:rsid w:val="00F24944"/>
    <w:rsid w:val="00F343DF"/>
    <w:rsid w:val="00F513BD"/>
    <w:rsid w:val="00F62123"/>
    <w:rsid w:val="00FA07F1"/>
    <w:rsid w:val="00FA5C26"/>
    <w:rsid w:val="00FB4325"/>
    <w:rsid w:val="00FC549A"/>
    <w:rsid w:val="00FC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80203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1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93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935F7"/>
  </w:style>
  <w:style w:type="paragraph" w:styleId="Footer">
    <w:name w:val="footer"/>
    <w:basedOn w:val="Normal"/>
    <w:link w:val="FooterChar"/>
    <w:uiPriority w:val="99"/>
    <w:unhideWhenUsed/>
    <w:rsid w:val="00493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5F7"/>
  </w:style>
  <w:style w:type="character" w:styleId="CommentReference">
    <w:name w:val="annotation reference"/>
    <w:basedOn w:val="DefaultParagraphFont"/>
    <w:uiPriority w:val="99"/>
    <w:semiHidden/>
    <w:unhideWhenUsed/>
    <w:rsid w:val="00493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35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35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5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5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5F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16150"/>
    <w:pPr>
      <w:ind w:left="720"/>
      <w:contextualSpacing/>
    </w:pPr>
  </w:style>
  <w:style w:type="paragraph" w:styleId="NoSpacing">
    <w:name w:val="No Spacing"/>
    <w:uiPriority w:val="1"/>
    <w:qFormat/>
    <w:rsid w:val="0024528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1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93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935F7"/>
  </w:style>
  <w:style w:type="paragraph" w:styleId="Footer">
    <w:name w:val="footer"/>
    <w:basedOn w:val="Normal"/>
    <w:link w:val="FooterChar"/>
    <w:uiPriority w:val="99"/>
    <w:unhideWhenUsed/>
    <w:rsid w:val="00493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5F7"/>
  </w:style>
  <w:style w:type="character" w:styleId="CommentReference">
    <w:name w:val="annotation reference"/>
    <w:basedOn w:val="DefaultParagraphFont"/>
    <w:uiPriority w:val="99"/>
    <w:semiHidden/>
    <w:unhideWhenUsed/>
    <w:rsid w:val="00493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35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35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5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5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5F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16150"/>
    <w:pPr>
      <w:ind w:left="720"/>
      <w:contextualSpacing/>
    </w:pPr>
  </w:style>
  <w:style w:type="paragraph" w:styleId="NoSpacing">
    <w:name w:val="No Spacing"/>
    <w:uiPriority w:val="1"/>
    <w:qFormat/>
    <w:rsid w:val="002452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Hemmer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3C6A1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Jastrebski</dc:creator>
  <cp:lastModifiedBy>Natasha Sandys</cp:lastModifiedBy>
  <cp:revision>5</cp:revision>
  <cp:lastPrinted>2015-12-17T19:20:00Z</cp:lastPrinted>
  <dcterms:created xsi:type="dcterms:W3CDTF">2016-01-22T20:52:00Z</dcterms:created>
  <dcterms:modified xsi:type="dcterms:W3CDTF">2016-03-29T21:21:00Z</dcterms:modified>
</cp:coreProperties>
</file>