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870" w:type="dxa"/>
        <w:tblBorders>
          <w:bottom w:val="single" w:sz="4" w:space="0" w:color="auto"/>
        </w:tblBorders>
        <w:tblLayout w:type="fixed"/>
        <w:tblCellMar>
          <w:left w:w="0" w:type="dxa"/>
          <w:right w:w="0" w:type="dxa"/>
        </w:tblCellMar>
        <w:tblLook w:val="0000" w:firstRow="0" w:lastRow="0" w:firstColumn="0" w:lastColumn="0" w:noHBand="0" w:noVBand="0"/>
      </w:tblPr>
      <w:tblGrid>
        <w:gridCol w:w="2610"/>
        <w:gridCol w:w="6120"/>
        <w:gridCol w:w="1800"/>
        <w:gridCol w:w="1350"/>
        <w:gridCol w:w="990"/>
      </w:tblGrid>
      <w:tr w:rsidR="007C26DD" w:rsidRPr="00531BBD" w14:paraId="3902FCB3" w14:textId="77777777" w:rsidTr="00B51547">
        <w:trPr>
          <w:cantSplit/>
          <w:trHeight w:hRule="exact" w:val="440"/>
        </w:trPr>
        <w:tc>
          <w:tcPr>
            <w:tcW w:w="12870" w:type="dxa"/>
            <w:gridSpan w:val="5"/>
          </w:tcPr>
          <w:p w14:paraId="5E0676A8" w14:textId="77777777" w:rsidR="007C26DD" w:rsidRPr="00531BBD" w:rsidRDefault="00B51547" w:rsidP="00531BBD">
            <w:pPr>
              <w:pStyle w:val="BodyText"/>
              <w:spacing w:line="240" w:lineRule="auto"/>
              <w:ind w:left="90" w:right="90" w:hanging="90"/>
              <w:rPr>
                <w:b/>
                <w:smallCaps/>
                <w:sz w:val="26"/>
              </w:rPr>
            </w:pPr>
            <w:r w:rsidRPr="00531BBD">
              <w:rPr>
                <w:b/>
                <w:smallCaps/>
                <w:sz w:val="26"/>
              </w:rPr>
              <w:t>Comment Log</w:t>
            </w:r>
          </w:p>
        </w:tc>
      </w:tr>
      <w:tr w:rsidR="007C26DD" w:rsidRPr="00531BBD" w14:paraId="66A28C6F" w14:textId="77777777" w:rsidTr="00705112">
        <w:trPr>
          <w:cantSplit/>
          <w:trHeight w:val="340"/>
        </w:trPr>
        <w:tc>
          <w:tcPr>
            <w:tcW w:w="2610" w:type="dxa"/>
            <w:tcBorders>
              <w:right w:val="nil"/>
            </w:tcBorders>
          </w:tcPr>
          <w:p w14:paraId="42A5278F" w14:textId="77777777" w:rsidR="007C26DD" w:rsidRPr="00531BBD" w:rsidRDefault="00B51547" w:rsidP="00CC6DF7">
            <w:pPr>
              <w:pStyle w:val="BodyText"/>
              <w:spacing w:after="120" w:line="240" w:lineRule="auto"/>
              <w:ind w:left="86" w:hanging="90"/>
              <w:rPr>
                <w:b/>
              </w:rPr>
            </w:pPr>
            <w:r w:rsidRPr="00531BBD">
              <w:rPr>
                <w:b/>
              </w:rPr>
              <w:t>Document Title:</w:t>
            </w:r>
          </w:p>
        </w:tc>
        <w:tc>
          <w:tcPr>
            <w:tcW w:w="10260" w:type="dxa"/>
            <w:gridSpan w:val="4"/>
            <w:tcBorders>
              <w:top w:val="nil"/>
              <w:left w:val="nil"/>
              <w:bottom w:val="nil"/>
              <w:right w:val="nil"/>
            </w:tcBorders>
          </w:tcPr>
          <w:p w14:paraId="54EB6C32" w14:textId="77777777" w:rsidR="007C26DD" w:rsidRPr="00531BBD" w:rsidRDefault="007D3E75" w:rsidP="00C77177">
            <w:pPr>
              <w:pStyle w:val="BodyText"/>
              <w:spacing w:after="120" w:line="240" w:lineRule="auto"/>
              <w:ind w:left="86" w:right="90"/>
            </w:pPr>
            <w:r w:rsidRPr="00531BBD">
              <w:t xml:space="preserve">Mount Nansen Remediation Project - </w:t>
            </w:r>
            <w:r>
              <w:t xml:space="preserve">Review of </w:t>
            </w:r>
            <w:r w:rsidR="00C77177">
              <w:t xml:space="preserve">Phase 1 (30% Design Phase) </w:t>
            </w:r>
            <w:r>
              <w:t>Cost Estimate Scope and Bases</w:t>
            </w:r>
          </w:p>
        </w:tc>
      </w:tr>
      <w:tr w:rsidR="00B51547" w:rsidRPr="00531BBD" w14:paraId="0FE55062" w14:textId="77777777" w:rsidTr="00705112">
        <w:trPr>
          <w:cantSplit/>
          <w:trHeight w:val="340"/>
        </w:trPr>
        <w:tc>
          <w:tcPr>
            <w:tcW w:w="2610" w:type="dxa"/>
            <w:tcBorders>
              <w:right w:val="nil"/>
            </w:tcBorders>
          </w:tcPr>
          <w:p w14:paraId="04F2691A" w14:textId="56704C58" w:rsidR="00B51547" w:rsidRPr="00531BBD" w:rsidRDefault="00705112" w:rsidP="00705112">
            <w:pPr>
              <w:pStyle w:val="BodyText"/>
              <w:spacing w:line="240" w:lineRule="auto"/>
              <w:ind w:left="90" w:hanging="90"/>
              <w:jc w:val="left"/>
              <w:rPr>
                <w:b/>
              </w:rPr>
            </w:pPr>
            <w:r>
              <w:rPr>
                <w:b/>
              </w:rPr>
              <w:t>Review Comment</w:t>
            </w:r>
            <w:r w:rsidR="00B51547" w:rsidRPr="00531BBD">
              <w:rPr>
                <w:b/>
              </w:rPr>
              <w:t xml:space="preserve"> Date</w:t>
            </w:r>
            <w:r w:rsidR="0081655C">
              <w:rPr>
                <w:b/>
              </w:rPr>
              <w:t>s</w:t>
            </w:r>
            <w:r w:rsidR="00B51547" w:rsidRPr="00531BBD">
              <w:rPr>
                <w:b/>
              </w:rPr>
              <w:t>:</w:t>
            </w:r>
          </w:p>
        </w:tc>
        <w:tc>
          <w:tcPr>
            <w:tcW w:w="6120" w:type="dxa"/>
            <w:tcBorders>
              <w:top w:val="nil"/>
              <w:left w:val="nil"/>
              <w:bottom w:val="nil"/>
              <w:right w:val="nil"/>
            </w:tcBorders>
          </w:tcPr>
          <w:p w14:paraId="62B6B7B3" w14:textId="1BB1EBE3" w:rsidR="00B51547" w:rsidRPr="00531BBD" w:rsidRDefault="007D3E75" w:rsidP="0053396C">
            <w:pPr>
              <w:pStyle w:val="BodyText"/>
              <w:spacing w:line="240" w:lineRule="auto"/>
              <w:ind w:left="90" w:right="90"/>
              <w:rPr>
                <w:b/>
              </w:rPr>
            </w:pPr>
            <w:r>
              <w:t>10 November</w:t>
            </w:r>
            <w:r w:rsidR="00FD4F33">
              <w:t xml:space="preserve"> </w:t>
            </w:r>
            <w:r w:rsidR="00D5789D" w:rsidRPr="00D5789D">
              <w:t>2014</w:t>
            </w:r>
            <w:r w:rsidR="00705112">
              <w:t>; 15 December 2014</w:t>
            </w:r>
          </w:p>
        </w:tc>
        <w:tc>
          <w:tcPr>
            <w:tcW w:w="1800" w:type="dxa"/>
            <w:tcBorders>
              <w:top w:val="nil"/>
              <w:left w:val="nil"/>
              <w:bottom w:val="nil"/>
              <w:right w:val="nil"/>
            </w:tcBorders>
          </w:tcPr>
          <w:p w14:paraId="16B24325" w14:textId="77777777" w:rsidR="00B51547" w:rsidRPr="00531BBD" w:rsidRDefault="00B51547" w:rsidP="00531BBD">
            <w:pPr>
              <w:pStyle w:val="BodyText"/>
              <w:spacing w:line="240" w:lineRule="auto"/>
              <w:ind w:left="90" w:right="90"/>
              <w:rPr>
                <w:b/>
              </w:rPr>
            </w:pPr>
            <w:r w:rsidRPr="00531BBD">
              <w:rPr>
                <w:b/>
              </w:rPr>
              <w:t>AMEC File No.</w:t>
            </w:r>
          </w:p>
        </w:tc>
        <w:tc>
          <w:tcPr>
            <w:tcW w:w="2340" w:type="dxa"/>
            <w:gridSpan w:val="2"/>
            <w:tcBorders>
              <w:top w:val="nil"/>
              <w:left w:val="nil"/>
              <w:bottom w:val="nil"/>
              <w:right w:val="nil"/>
            </w:tcBorders>
          </w:tcPr>
          <w:p w14:paraId="4FC6923F" w14:textId="77777777" w:rsidR="00B51547" w:rsidRPr="00531BBD" w:rsidRDefault="00B51547" w:rsidP="00531BBD">
            <w:pPr>
              <w:pStyle w:val="BodyText"/>
              <w:spacing w:line="240" w:lineRule="auto"/>
              <w:ind w:left="90" w:right="90"/>
            </w:pPr>
            <w:r w:rsidRPr="00531BBD">
              <w:t>VM0060</w:t>
            </w:r>
            <w:r w:rsidR="007D3E75">
              <w:t>5K</w:t>
            </w:r>
          </w:p>
        </w:tc>
      </w:tr>
      <w:tr w:rsidR="00CF340C" w:rsidRPr="00531BBD" w14:paraId="43776518" w14:textId="77777777" w:rsidTr="00705112">
        <w:trPr>
          <w:cantSplit/>
          <w:trHeight w:val="340"/>
        </w:trPr>
        <w:tc>
          <w:tcPr>
            <w:tcW w:w="2610" w:type="dxa"/>
            <w:tcBorders>
              <w:right w:val="nil"/>
            </w:tcBorders>
          </w:tcPr>
          <w:p w14:paraId="6B497CBE" w14:textId="77777777" w:rsidR="00CF340C" w:rsidRPr="00531BBD" w:rsidRDefault="00CF340C" w:rsidP="00531BBD">
            <w:pPr>
              <w:pStyle w:val="BodyText"/>
              <w:spacing w:line="240" w:lineRule="auto"/>
              <w:ind w:left="90" w:hanging="90"/>
              <w:rPr>
                <w:b/>
              </w:rPr>
            </w:pPr>
            <w:r w:rsidRPr="00531BBD">
              <w:rPr>
                <w:b/>
              </w:rPr>
              <w:t>Comments By:</w:t>
            </w:r>
          </w:p>
        </w:tc>
        <w:tc>
          <w:tcPr>
            <w:tcW w:w="9270" w:type="dxa"/>
            <w:gridSpan w:val="3"/>
            <w:tcBorders>
              <w:top w:val="nil"/>
              <w:left w:val="nil"/>
              <w:bottom w:val="nil"/>
              <w:right w:val="nil"/>
            </w:tcBorders>
          </w:tcPr>
          <w:p w14:paraId="7D436740" w14:textId="77777777" w:rsidR="00CF340C" w:rsidRPr="00531BBD" w:rsidRDefault="00C53CDE" w:rsidP="00316CE3">
            <w:pPr>
              <w:pStyle w:val="BodyText"/>
              <w:spacing w:line="240" w:lineRule="auto"/>
              <w:ind w:left="90" w:right="90"/>
              <w:rPr>
                <w:b/>
              </w:rPr>
            </w:pPr>
            <w:r>
              <w:t>I.D. Poloni</w:t>
            </w:r>
            <w:r w:rsidR="00C77177">
              <w:t xml:space="preserve"> (AAM)</w:t>
            </w:r>
            <w:r w:rsidR="00316CE3">
              <w:t xml:space="preserve"> and</w:t>
            </w:r>
            <w:r w:rsidR="00C77177">
              <w:t xml:space="preserve"> </w:t>
            </w:r>
            <w:r w:rsidR="00316CE3">
              <w:t>Kim Winnicky (Bill Slater Environmental Consulting)</w:t>
            </w:r>
          </w:p>
        </w:tc>
        <w:tc>
          <w:tcPr>
            <w:tcW w:w="990" w:type="dxa"/>
            <w:tcBorders>
              <w:top w:val="nil"/>
              <w:left w:val="nil"/>
              <w:bottom w:val="nil"/>
              <w:right w:val="nil"/>
            </w:tcBorders>
            <w:shd w:val="clear" w:color="auto" w:fill="auto"/>
          </w:tcPr>
          <w:p w14:paraId="1DDD078D" w14:textId="77777777" w:rsidR="00CF340C" w:rsidRPr="00531BBD" w:rsidRDefault="00CF340C" w:rsidP="00531BBD">
            <w:pPr>
              <w:pStyle w:val="BodyText"/>
              <w:spacing w:line="240" w:lineRule="auto"/>
              <w:rPr>
                <w:b/>
              </w:rPr>
            </w:pPr>
          </w:p>
        </w:tc>
      </w:tr>
      <w:tr w:rsidR="007C26DD" w:rsidRPr="00531BBD" w14:paraId="5893D2FB" w14:textId="77777777" w:rsidTr="00705112">
        <w:trPr>
          <w:cantSplit/>
          <w:trHeight w:val="340"/>
        </w:trPr>
        <w:tc>
          <w:tcPr>
            <w:tcW w:w="2610" w:type="dxa"/>
            <w:tcBorders>
              <w:bottom w:val="nil"/>
              <w:right w:val="nil"/>
            </w:tcBorders>
          </w:tcPr>
          <w:p w14:paraId="566E1E63" w14:textId="77777777" w:rsidR="007C26DD" w:rsidRPr="00531BBD" w:rsidRDefault="00B51547" w:rsidP="00531BBD">
            <w:pPr>
              <w:pStyle w:val="BodyText"/>
              <w:spacing w:line="240" w:lineRule="auto"/>
              <w:ind w:left="90" w:hanging="90"/>
              <w:rPr>
                <w:b/>
              </w:rPr>
            </w:pPr>
            <w:r w:rsidRPr="00531BBD">
              <w:rPr>
                <w:b/>
              </w:rPr>
              <w:t>Responses By:</w:t>
            </w:r>
          </w:p>
        </w:tc>
        <w:tc>
          <w:tcPr>
            <w:tcW w:w="6120" w:type="dxa"/>
            <w:tcBorders>
              <w:top w:val="nil"/>
              <w:left w:val="nil"/>
              <w:bottom w:val="nil"/>
              <w:right w:val="nil"/>
            </w:tcBorders>
          </w:tcPr>
          <w:p w14:paraId="59909F8B" w14:textId="77777777" w:rsidR="007C26DD" w:rsidRPr="00531BBD" w:rsidRDefault="00B51547" w:rsidP="00BD680B">
            <w:pPr>
              <w:pStyle w:val="BodyText"/>
              <w:spacing w:line="240" w:lineRule="auto"/>
              <w:ind w:left="90" w:right="90"/>
              <w:rPr>
                <w:b/>
              </w:rPr>
            </w:pPr>
            <w:r w:rsidRPr="00531BBD">
              <w:t>AMEC –</w:t>
            </w:r>
            <w:r w:rsidR="00FD4F33">
              <w:t xml:space="preserve"> </w:t>
            </w:r>
            <w:r w:rsidR="0003639A" w:rsidRPr="00531BBD">
              <w:t>Brian Geddes</w:t>
            </w:r>
            <w:r w:rsidR="00975F07">
              <w:t>, Christine Peters</w:t>
            </w:r>
          </w:p>
        </w:tc>
        <w:tc>
          <w:tcPr>
            <w:tcW w:w="1800" w:type="dxa"/>
            <w:tcBorders>
              <w:top w:val="nil"/>
              <w:left w:val="nil"/>
              <w:bottom w:val="nil"/>
              <w:right w:val="nil"/>
            </w:tcBorders>
          </w:tcPr>
          <w:p w14:paraId="1C4580B3" w14:textId="77777777" w:rsidR="007C26DD" w:rsidRPr="00531BBD" w:rsidRDefault="007C26DD" w:rsidP="00531BBD">
            <w:pPr>
              <w:pStyle w:val="BodyText"/>
              <w:spacing w:line="240" w:lineRule="auto"/>
              <w:ind w:left="90"/>
              <w:rPr>
                <w:b/>
              </w:rPr>
            </w:pPr>
          </w:p>
        </w:tc>
        <w:tc>
          <w:tcPr>
            <w:tcW w:w="2340" w:type="dxa"/>
            <w:gridSpan w:val="2"/>
            <w:tcBorders>
              <w:top w:val="nil"/>
              <w:left w:val="nil"/>
              <w:bottom w:val="nil"/>
              <w:right w:val="nil"/>
            </w:tcBorders>
            <w:shd w:val="clear" w:color="auto" w:fill="auto"/>
          </w:tcPr>
          <w:p w14:paraId="31670767" w14:textId="77777777" w:rsidR="007C26DD" w:rsidRPr="00531BBD" w:rsidRDefault="007C26DD" w:rsidP="00531BBD">
            <w:pPr>
              <w:pStyle w:val="BodyText"/>
              <w:spacing w:line="240" w:lineRule="auto"/>
              <w:rPr>
                <w:b/>
              </w:rPr>
            </w:pPr>
          </w:p>
        </w:tc>
      </w:tr>
      <w:tr w:rsidR="00481BFF" w:rsidRPr="00531BBD" w14:paraId="26297CB3" w14:textId="77777777" w:rsidTr="00705112">
        <w:trPr>
          <w:cantSplit/>
        </w:trPr>
        <w:tc>
          <w:tcPr>
            <w:tcW w:w="2610" w:type="dxa"/>
            <w:tcBorders>
              <w:bottom w:val="nil"/>
              <w:right w:val="nil"/>
            </w:tcBorders>
          </w:tcPr>
          <w:p w14:paraId="3A11DBD9" w14:textId="77777777" w:rsidR="00481BFF" w:rsidRPr="00531BBD" w:rsidRDefault="00B51547" w:rsidP="00531BBD">
            <w:pPr>
              <w:pStyle w:val="BodyText"/>
              <w:spacing w:line="240" w:lineRule="auto"/>
              <w:ind w:left="90" w:hanging="90"/>
              <w:rPr>
                <w:b/>
              </w:rPr>
            </w:pPr>
            <w:r w:rsidRPr="00531BBD">
              <w:rPr>
                <w:b/>
              </w:rPr>
              <w:t xml:space="preserve">Response </w:t>
            </w:r>
            <w:r w:rsidR="00481BFF" w:rsidRPr="00531BBD">
              <w:rPr>
                <w:b/>
              </w:rPr>
              <w:t>Date</w:t>
            </w:r>
            <w:r w:rsidR="0081655C">
              <w:rPr>
                <w:b/>
              </w:rPr>
              <w:t>s</w:t>
            </w:r>
            <w:r w:rsidRPr="00531BBD">
              <w:rPr>
                <w:b/>
              </w:rPr>
              <w:t>:</w:t>
            </w:r>
          </w:p>
        </w:tc>
        <w:tc>
          <w:tcPr>
            <w:tcW w:w="6120" w:type="dxa"/>
            <w:tcBorders>
              <w:top w:val="nil"/>
              <w:left w:val="nil"/>
              <w:bottom w:val="nil"/>
              <w:right w:val="nil"/>
            </w:tcBorders>
          </w:tcPr>
          <w:p w14:paraId="5A2BE68D" w14:textId="13B32B79" w:rsidR="00481BFF" w:rsidRPr="00531BBD" w:rsidRDefault="00C77177" w:rsidP="00FD4F33">
            <w:pPr>
              <w:pStyle w:val="BodyText"/>
              <w:spacing w:line="240" w:lineRule="auto"/>
              <w:ind w:left="82" w:right="90"/>
            </w:pPr>
            <w:r>
              <w:t>21</w:t>
            </w:r>
            <w:r w:rsidR="007D3E75">
              <w:t xml:space="preserve"> November</w:t>
            </w:r>
            <w:r w:rsidR="006D1C30">
              <w:t xml:space="preserve"> </w:t>
            </w:r>
            <w:r w:rsidR="002D53D9" w:rsidRPr="00531BBD">
              <w:t>2014</w:t>
            </w:r>
            <w:r w:rsidR="00705112">
              <w:t>; 18 December 2014</w:t>
            </w:r>
          </w:p>
        </w:tc>
        <w:tc>
          <w:tcPr>
            <w:tcW w:w="1800" w:type="dxa"/>
            <w:tcBorders>
              <w:top w:val="nil"/>
              <w:left w:val="nil"/>
              <w:bottom w:val="nil"/>
              <w:right w:val="nil"/>
            </w:tcBorders>
          </w:tcPr>
          <w:p w14:paraId="61389D71" w14:textId="77777777" w:rsidR="00481BFF" w:rsidRPr="00531BBD" w:rsidRDefault="00481BFF" w:rsidP="00531BBD">
            <w:pPr>
              <w:pStyle w:val="BodyText"/>
              <w:spacing w:line="240" w:lineRule="auto"/>
              <w:ind w:left="90"/>
            </w:pPr>
          </w:p>
        </w:tc>
        <w:tc>
          <w:tcPr>
            <w:tcW w:w="2340" w:type="dxa"/>
            <w:gridSpan w:val="2"/>
            <w:tcBorders>
              <w:top w:val="nil"/>
              <w:left w:val="nil"/>
              <w:bottom w:val="nil"/>
              <w:right w:val="nil"/>
            </w:tcBorders>
            <w:shd w:val="clear" w:color="auto" w:fill="auto"/>
          </w:tcPr>
          <w:p w14:paraId="53FCD94F" w14:textId="77777777" w:rsidR="00481BFF" w:rsidRPr="00531BBD" w:rsidRDefault="00481BFF" w:rsidP="00531BBD">
            <w:pPr>
              <w:pStyle w:val="BodyText"/>
              <w:spacing w:line="240" w:lineRule="auto"/>
            </w:pPr>
          </w:p>
        </w:tc>
      </w:tr>
    </w:tbl>
    <w:p w14:paraId="20A1A011" w14:textId="77777777" w:rsidR="00B030AD" w:rsidRDefault="00B030AD" w:rsidP="00531BBD">
      <w:pPr>
        <w:pStyle w:val="BodyText"/>
        <w:spacing w:line="240" w:lineRule="auto"/>
      </w:pPr>
    </w:p>
    <w:tbl>
      <w:tblPr>
        <w:tblStyle w:val="TableGrid"/>
        <w:tblW w:w="13050" w:type="dxa"/>
        <w:tblInd w:w="-5" w:type="dxa"/>
        <w:tblLayout w:type="fixed"/>
        <w:tblLook w:val="04A0" w:firstRow="1" w:lastRow="0" w:firstColumn="1" w:lastColumn="0" w:noHBand="0" w:noVBand="1"/>
      </w:tblPr>
      <w:tblGrid>
        <w:gridCol w:w="2430"/>
        <w:gridCol w:w="5310"/>
        <w:gridCol w:w="5310"/>
      </w:tblGrid>
      <w:tr w:rsidR="00705112" w:rsidRPr="00B40E50" w14:paraId="02A3D66B" w14:textId="77777777" w:rsidTr="00965F8D">
        <w:trPr>
          <w:cantSplit/>
          <w:tblHeader/>
        </w:trPr>
        <w:tc>
          <w:tcPr>
            <w:tcW w:w="2430" w:type="dxa"/>
            <w:vAlign w:val="center"/>
          </w:tcPr>
          <w:p w14:paraId="65B06085" w14:textId="0F4AE553" w:rsidR="00705112" w:rsidRPr="00B40E50" w:rsidRDefault="00705112" w:rsidP="00965F8D">
            <w:pPr>
              <w:pStyle w:val="BodyText"/>
              <w:spacing w:line="240" w:lineRule="auto"/>
              <w:jc w:val="left"/>
              <w:rPr>
                <w:b/>
                <w:sz w:val="20"/>
                <w:szCs w:val="20"/>
              </w:rPr>
            </w:pPr>
            <w:r w:rsidRPr="00811EBF">
              <w:rPr>
                <w:b/>
                <w:sz w:val="20"/>
                <w:szCs w:val="20"/>
              </w:rPr>
              <w:t>Comment ID</w:t>
            </w:r>
          </w:p>
        </w:tc>
        <w:tc>
          <w:tcPr>
            <w:tcW w:w="5310" w:type="dxa"/>
            <w:vAlign w:val="center"/>
          </w:tcPr>
          <w:p w14:paraId="3A73B724" w14:textId="6A5DF389" w:rsidR="00705112" w:rsidRPr="00B40E50" w:rsidRDefault="00705112" w:rsidP="00965F8D">
            <w:pPr>
              <w:pStyle w:val="BodyText"/>
              <w:spacing w:line="240" w:lineRule="auto"/>
              <w:jc w:val="left"/>
              <w:rPr>
                <w:b/>
                <w:sz w:val="20"/>
                <w:szCs w:val="20"/>
              </w:rPr>
            </w:pPr>
            <w:r>
              <w:rPr>
                <w:b/>
                <w:sz w:val="20"/>
                <w:szCs w:val="20"/>
              </w:rPr>
              <w:t>Comment (15 December 2014)</w:t>
            </w:r>
          </w:p>
        </w:tc>
        <w:tc>
          <w:tcPr>
            <w:tcW w:w="5310" w:type="dxa"/>
            <w:vAlign w:val="center"/>
          </w:tcPr>
          <w:p w14:paraId="0445BE58" w14:textId="3154BAF8" w:rsidR="00705112" w:rsidRPr="00B40E50" w:rsidRDefault="00705112" w:rsidP="00965F8D">
            <w:pPr>
              <w:pStyle w:val="BodyText"/>
              <w:spacing w:line="240" w:lineRule="auto"/>
              <w:jc w:val="left"/>
              <w:rPr>
                <w:b/>
                <w:sz w:val="20"/>
                <w:szCs w:val="20"/>
              </w:rPr>
            </w:pPr>
            <w:r>
              <w:rPr>
                <w:b/>
                <w:sz w:val="20"/>
                <w:szCs w:val="20"/>
              </w:rPr>
              <w:t>Response (18 December 2014)</w:t>
            </w:r>
          </w:p>
        </w:tc>
      </w:tr>
      <w:tr w:rsidR="00705112" w:rsidRPr="00B40E50" w14:paraId="0EA8A680" w14:textId="77777777" w:rsidTr="00965F8D">
        <w:tc>
          <w:tcPr>
            <w:tcW w:w="2430" w:type="dxa"/>
          </w:tcPr>
          <w:p w14:paraId="6810F127" w14:textId="612B2853" w:rsidR="00705112" w:rsidRPr="002C7BD9" w:rsidRDefault="00705112" w:rsidP="00965F8D">
            <w:pPr>
              <w:pStyle w:val="BodyText"/>
              <w:spacing w:line="240" w:lineRule="auto"/>
              <w:jc w:val="left"/>
              <w:rPr>
                <w:b/>
                <w:bCs/>
                <w:sz w:val="20"/>
                <w:szCs w:val="20"/>
              </w:rPr>
            </w:pPr>
            <w:r>
              <w:rPr>
                <w:b/>
                <w:bCs/>
                <w:sz w:val="20"/>
                <w:szCs w:val="20"/>
              </w:rPr>
              <w:t>General Comments on 21 November Log</w:t>
            </w:r>
          </w:p>
        </w:tc>
        <w:tc>
          <w:tcPr>
            <w:tcW w:w="5310" w:type="dxa"/>
          </w:tcPr>
          <w:p w14:paraId="12063C3C" w14:textId="2D9B4079" w:rsidR="00705112" w:rsidRPr="00705112" w:rsidRDefault="00705112" w:rsidP="00705112">
            <w:pPr>
              <w:pStyle w:val="BodyText"/>
              <w:spacing w:line="240" w:lineRule="auto"/>
              <w:jc w:val="left"/>
              <w:rPr>
                <w:sz w:val="20"/>
                <w:szCs w:val="20"/>
              </w:rPr>
            </w:pPr>
            <w:r w:rsidRPr="00705112">
              <w:rPr>
                <w:sz w:val="20"/>
                <w:szCs w:val="20"/>
              </w:rPr>
              <w:t>Several response</w:t>
            </w:r>
            <w:r>
              <w:rPr>
                <w:sz w:val="20"/>
                <w:szCs w:val="20"/>
              </w:rPr>
              <w:t>s</w:t>
            </w:r>
            <w:r w:rsidRPr="00705112">
              <w:rPr>
                <w:sz w:val="20"/>
                <w:szCs w:val="20"/>
              </w:rPr>
              <w:t xml:space="preserve"> make reference to the wrong section of the report or the wrong table, can you please review and update?</w:t>
            </w:r>
          </w:p>
          <w:p w14:paraId="1441757C" w14:textId="77777777" w:rsidR="00705112" w:rsidRPr="00705112" w:rsidRDefault="00705112" w:rsidP="00705112">
            <w:pPr>
              <w:pStyle w:val="BodyText"/>
              <w:spacing w:line="240" w:lineRule="auto"/>
              <w:jc w:val="left"/>
              <w:rPr>
                <w:sz w:val="20"/>
                <w:szCs w:val="20"/>
              </w:rPr>
            </w:pPr>
          </w:p>
          <w:p w14:paraId="013100C1" w14:textId="38F11405" w:rsidR="00705112" w:rsidRPr="002C7BD9" w:rsidRDefault="00705112" w:rsidP="00705112">
            <w:pPr>
              <w:pStyle w:val="BodyText"/>
              <w:spacing w:line="240" w:lineRule="auto"/>
              <w:jc w:val="left"/>
              <w:rPr>
                <w:sz w:val="20"/>
                <w:szCs w:val="20"/>
              </w:rPr>
            </w:pPr>
            <w:r w:rsidRPr="00705112">
              <w:rPr>
                <w:sz w:val="20"/>
                <w:szCs w:val="20"/>
              </w:rPr>
              <w:t>As per our discussion, there is several reference from the parties about the WT (fix. Vs. mobile), instead of the response – will be address during phase II, which should provide the response – as part of the current sow, a sensitiv</w:t>
            </w:r>
            <w:r>
              <w:rPr>
                <w:sz w:val="20"/>
                <w:szCs w:val="20"/>
              </w:rPr>
              <w:t>it</w:t>
            </w:r>
            <w:r w:rsidRPr="00705112">
              <w:rPr>
                <w:sz w:val="20"/>
                <w:szCs w:val="20"/>
              </w:rPr>
              <w:t>y (low and high bound was provided), 15% for reagent, 20% for fix vs. mobile and that during phase 2 a more detail estimate would be develop.</w:t>
            </w:r>
          </w:p>
        </w:tc>
        <w:tc>
          <w:tcPr>
            <w:tcW w:w="5310" w:type="dxa"/>
          </w:tcPr>
          <w:p w14:paraId="356C600E" w14:textId="77777777" w:rsidR="00705112" w:rsidRDefault="00705112" w:rsidP="00965F8D">
            <w:pPr>
              <w:pStyle w:val="BodyText"/>
              <w:numPr>
                <w:ilvl w:val="0"/>
                <w:numId w:val="31"/>
              </w:numPr>
              <w:spacing w:line="240" w:lineRule="auto"/>
              <w:ind w:left="360"/>
              <w:jc w:val="left"/>
              <w:rPr>
                <w:sz w:val="20"/>
                <w:szCs w:val="20"/>
              </w:rPr>
            </w:pPr>
            <w:r>
              <w:rPr>
                <w:sz w:val="20"/>
                <w:szCs w:val="20"/>
              </w:rPr>
              <w:t>Report and table references in the 21 November responses have been corrected.</w:t>
            </w:r>
          </w:p>
          <w:p w14:paraId="03D7F397" w14:textId="19ADBABA" w:rsidR="008F2659" w:rsidRPr="00B40E50" w:rsidRDefault="008F2659" w:rsidP="00965F8D">
            <w:pPr>
              <w:pStyle w:val="BodyText"/>
              <w:numPr>
                <w:ilvl w:val="0"/>
                <w:numId w:val="31"/>
              </w:numPr>
              <w:spacing w:line="240" w:lineRule="auto"/>
              <w:ind w:left="360"/>
              <w:jc w:val="left"/>
              <w:rPr>
                <w:sz w:val="20"/>
                <w:szCs w:val="20"/>
              </w:rPr>
            </w:pPr>
            <w:r>
              <w:rPr>
                <w:sz w:val="20"/>
                <w:szCs w:val="20"/>
              </w:rPr>
              <w:t>The relevant Comment Log responses have been expanded to highlight the sensitivity assessments on water treatment costs undertaken as part of the review.</w:t>
            </w:r>
          </w:p>
        </w:tc>
      </w:tr>
    </w:tbl>
    <w:p w14:paraId="39D24FF3" w14:textId="77777777" w:rsidR="00705112" w:rsidRDefault="00705112" w:rsidP="00531BBD">
      <w:pPr>
        <w:pStyle w:val="BodyText"/>
        <w:spacing w:line="240" w:lineRule="auto"/>
      </w:pPr>
    </w:p>
    <w:p w14:paraId="5451EAFA" w14:textId="77777777" w:rsidR="00705112" w:rsidRDefault="00705112" w:rsidP="00531BBD">
      <w:pPr>
        <w:pStyle w:val="BodyText"/>
        <w:spacing w:line="240" w:lineRule="auto"/>
      </w:pPr>
    </w:p>
    <w:p w14:paraId="1C72CDC2" w14:textId="77777777" w:rsidR="001C7611" w:rsidRDefault="001C7611">
      <w:pPr>
        <w:jc w:val="left"/>
        <w:rPr>
          <w:rFonts w:cs="Arial"/>
          <w:szCs w:val="22"/>
        </w:rPr>
      </w:pPr>
      <w:r>
        <w:br w:type="page"/>
      </w:r>
    </w:p>
    <w:p w14:paraId="73867920" w14:textId="47156FE7" w:rsidR="007C26DD" w:rsidRPr="00531BBD" w:rsidRDefault="0002436A" w:rsidP="00B030AD">
      <w:pPr>
        <w:pStyle w:val="BodyText"/>
        <w:spacing w:after="120" w:line="240" w:lineRule="auto"/>
      </w:pPr>
      <w:r w:rsidRPr="00531BBD">
        <w:lastRenderedPageBreak/>
        <w:t>Note 1 – Page numbers per commented document.</w:t>
      </w:r>
    </w:p>
    <w:tbl>
      <w:tblPr>
        <w:tblStyle w:val="TableGrid"/>
        <w:tblW w:w="13050" w:type="dxa"/>
        <w:tblInd w:w="-5" w:type="dxa"/>
        <w:tblLayout w:type="fixed"/>
        <w:tblLook w:val="04A0" w:firstRow="1" w:lastRow="0" w:firstColumn="1" w:lastColumn="0" w:noHBand="0" w:noVBand="1"/>
      </w:tblPr>
      <w:tblGrid>
        <w:gridCol w:w="2430"/>
        <w:gridCol w:w="5310"/>
        <w:gridCol w:w="5310"/>
      </w:tblGrid>
      <w:tr w:rsidR="002C7BD9" w:rsidRPr="00B40E50" w14:paraId="1C0F7448" w14:textId="77777777" w:rsidTr="00A163F0">
        <w:trPr>
          <w:cantSplit/>
          <w:tblHeader/>
        </w:trPr>
        <w:tc>
          <w:tcPr>
            <w:tcW w:w="2430" w:type="dxa"/>
            <w:tcBorders>
              <w:bottom w:val="single" w:sz="4" w:space="0" w:color="auto"/>
            </w:tcBorders>
            <w:vAlign w:val="center"/>
          </w:tcPr>
          <w:p w14:paraId="08E1AF5F" w14:textId="77777777" w:rsidR="002C7BD9" w:rsidRPr="00B40E50" w:rsidRDefault="002C7BD9" w:rsidP="002C7BD9">
            <w:pPr>
              <w:pStyle w:val="BodyText"/>
              <w:spacing w:line="240" w:lineRule="auto"/>
              <w:jc w:val="left"/>
              <w:rPr>
                <w:b/>
                <w:sz w:val="20"/>
                <w:szCs w:val="20"/>
              </w:rPr>
            </w:pPr>
            <w:r w:rsidRPr="00811EBF">
              <w:rPr>
                <w:b/>
                <w:sz w:val="20"/>
                <w:szCs w:val="20"/>
              </w:rPr>
              <w:t>Comment ID</w:t>
            </w:r>
            <w:r w:rsidRPr="00811EBF">
              <w:rPr>
                <w:b/>
                <w:sz w:val="20"/>
                <w:szCs w:val="20"/>
                <w:vertAlign w:val="superscript"/>
              </w:rPr>
              <w:t>1</w:t>
            </w:r>
          </w:p>
        </w:tc>
        <w:tc>
          <w:tcPr>
            <w:tcW w:w="5310" w:type="dxa"/>
            <w:vAlign w:val="center"/>
          </w:tcPr>
          <w:p w14:paraId="551194F8" w14:textId="4CA54993" w:rsidR="002C7BD9" w:rsidRPr="00B40E50" w:rsidRDefault="002C7BD9" w:rsidP="00F23A85">
            <w:pPr>
              <w:pStyle w:val="BodyText"/>
              <w:spacing w:line="240" w:lineRule="auto"/>
              <w:jc w:val="left"/>
              <w:rPr>
                <w:b/>
                <w:sz w:val="20"/>
                <w:szCs w:val="20"/>
              </w:rPr>
            </w:pPr>
            <w:r>
              <w:rPr>
                <w:b/>
                <w:sz w:val="20"/>
                <w:szCs w:val="20"/>
              </w:rPr>
              <w:t>Comment</w:t>
            </w:r>
            <w:r w:rsidR="001C7611">
              <w:rPr>
                <w:b/>
                <w:sz w:val="20"/>
                <w:szCs w:val="20"/>
              </w:rPr>
              <w:t xml:space="preserve"> (10 November 2014)</w:t>
            </w:r>
          </w:p>
        </w:tc>
        <w:tc>
          <w:tcPr>
            <w:tcW w:w="5310" w:type="dxa"/>
            <w:vAlign w:val="center"/>
          </w:tcPr>
          <w:p w14:paraId="1E8CD68C" w14:textId="376584D2" w:rsidR="002C7BD9" w:rsidRPr="00B40E50" w:rsidRDefault="002C7BD9" w:rsidP="00F23A85">
            <w:pPr>
              <w:pStyle w:val="BodyText"/>
              <w:spacing w:line="240" w:lineRule="auto"/>
              <w:jc w:val="left"/>
              <w:rPr>
                <w:b/>
                <w:sz w:val="20"/>
                <w:szCs w:val="20"/>
              </w:rPr>
            </w:pPr>
            <w:r>
              <w:rPr>
                <w:b/>
                <w:sz w:val="20"/>
                <w:szCs w:val="20"/>
              </w:rPr>
              <w:t>Response</w:t>
            </w:r>
            <w:r w:rsidR="001C7611">
              <w:rPr>
                <w:b/>
                <w:sz w:val="20"/>
                <w:szCs w:val="20"/>
              </w:rPr>
              <w:t xml:space="preserve"> (21 November 2014)</w:t>
            </w:r>
          </w:p>
        </w:tc>
      </w:tr>
      <w:tr w:rsidR="008F2659" w:rsidRPr="00B40E50" w14:paraId="34624B3F" w14:textId="77777777" w:rsidTr="008F2659">
        <w:trPr>
          <w:trHeight w:val="3705"/>
        </w:trPr>
        <w:tc>
          <w:tcPr>
            <w:tcW w:w="2430" w:type="dxa"/>
            <w:tcBorders>
              <w:bottom w:val="nil"/>
            </w:tcBorders>
          </w:tcPr>
          <w:p w14:paraId="17ECA335" w14:textId="77777777" w:rsidR="008F2659" w:rsidRPr="002C7BD9" w:rsidRDefault="008F2659" w:rsidP="0071721F">
            <w:pPr>
              <w:pStyle w:val="BodyText"/>
              <w:spacing w:line="240" w:lineRule="auto"/>
              <w:jc w:val="left"/>
              <w:rPr>
                <w:b/>
                <w:bCs/>
                <w:sz w:val="20"/>
                <w:szCs w:val="20"/>
              </w:rPr>
            </w:pPr>
            <w:r w:rsidRPr="002C7BD9">
              <w:rPr>
                <w:b/>
                <w:bCs/>
                <w:sz w:val="20"/>
                <w:szCs w:val="20"/>
              </w:rPr>
              <w:t>ldpoloni</w:t>
            </w:r>
            <w:r>
              <w:rPr>
                <w:b/>
                <w:bCs/>
                <w:sz w:val="20"/>
                <w:szCs w:val="20"/>
              </w:rPr>
              <w:t>, page 1</w:t>
            </w:r>
          </w:p>
          <w:p w14:paraId="6C3DF2CE" w14:textId="77777777" w:rsidR="008F2659" w:rsidRPr="002C7BD9" w:rsidRDefault="008F2659" w:rsidP="0071721F">
            <w:pPr>
              <w:pStyle w:val="BodyText"/>
              <w:spacing w:line="240" w:lineRule="auto"/>
              <w:jc w:val="left"/>
              <w:rPr>
                <w:b/>
                <w:bCs/>
                <w:sz w:val="20"/>
                <w:szCs w:val="20"/>
              </w:rPr>
            </w:pPr>
            <w:r>
              <w:rPr>
                <w:b/>
                <w:bCs/>
                <w:sz w:val="20"/>
                <w:szCs w:val="20"/>
              </w:rPr>
              <w:t>10</w:t>
            </w:r>
            <w:r w:rsidRPr="002C7BD9">
              <w:rPr>
                <w:b/>
                <w:bCs/>
                <w:sz w:val="20"/>
                <w:szCs w:val="20"/>
              </w:rPr>
              <w:t xml:space="preserve">/11/2014 </w:t>
            </w:r>
            <w:r>
              <w:rPr>
                <w:b/>
                <w:bCs/>
                <w:sz w:val="20"/>
                <w:szCs w:val="20"/>
              </w:rPr>
              <w:t>3:30:33 PM</w:t>
            </w:r>
          </w:p>
        </w:tc>
        <w:tc>
          <w:tcPr>
            <w:tcW w:w="5310" w:type="dxa"/>
            <w:vMerge w:val="restart"/>
          </w:tcPr>
          <w:p w14:paraId="1F98BEC6" w14:textId="77777777" w:rsidR="008F2659" w:rsidRPr="002C7BD9" w:rsidRDefault="008F2659" w:rsidP="0071721F">
            <w:pPr>
              <w:pStyle w:val="BodyText"/>
              <w:spacing w:line="240" w:lineRule="auto"/>
              <w:jc w:val="left"/>
              <w:rPr>
                <w:sz w:val="20"/>
                <w:szCs w:val="20"/>
              </w:rPr>
            </w:pPr>
            <w:r w:rsidRPr="002C7BD9">
              <w:rPr>
                <w:sz w:val="20"/>
                <w:szCs w:val="20"/>
              </w:rPr>
              <w:t>(AAM)</w:t>
            </w:r>
          </w:p>
          <w:p w14:paraId="41DB882C" w14:textId="77777777" w:rsidR="008F2659" w:rsidRPr="002C7BD9" w:rsidRDefault="008F2659" w:rsidP="0071721F">
            <w:pPr>
              <w:pStyle w:val="BodyText"/>
              <w:numPr>
                <w:ilvl w:val="0"/>
                <w:numId w:val="31"/>
              </w:numPr>
              <w:spacing w:line="240" w:lineRule="auto"/>
              <w:ind w:left="360"/>
              <w:jc w:val="left"/>
              <w:rPr>
                <w:sz w:val="20"/>
                <w:szCs w:val="20"/>
              </w:rPr>
            </w:pPr>
            <w:r w:rsidRPr="002C7BD9">
              <w:rPr>
                <w:sz w:val="20"/>
                <w:szCs w:val="20"/>
              </w:rPr>
              <w:t>Should separate AMP and design contingency as 2 separate line item</w:t>
            </w:r>
            <w:r>
              <w:rPr>
                <w:sz w:val="20"/>
                <w:szCs w:val="20"/>
              </w:rPr>
              <w:t>s</w:t>
            </w:r>
            <w:r w:rsidRPr="002C7BD9">
              <w:rPr>
                <w:sz w:val="20"/>
                <w:szCs w:val="20"/>
              </w:rPr>
              <w:t xml:space="preserve">. </w:t>
            </w:r>
          </w:p>
          <w:p w14:paraId="1E03DC73" w14:textId="77777777" w:rsidR="008F2659" w:rsidRPr="002C7BD9" w:rsidRDefault="008F2659" w:rsidP="0071721F">
            <w:pPr>
              <w:pStyle w:val="BodyText"/>
              <w:numPr>
                <w:ilvl w:val="0"/>
                <w:numId w:val="31"/>
              </w:numPr>
              <w:spacing w:line="240" w:lineRule="auto"/>
              <w:ind w:left="360"/>
              <w:jc w:val="left"/>
              <w:rPr>
                <w:sz w:val="20"/>
                <w:szCs w:val="20"/>
              </w:rPr>
            </w:pPr>
            <w:r w:rsidRPr="002C7BD9">
              <w:rPr>
                <w:sz w:val="20"/>
                <w:szCs w:val="20"/>
              </w:rPr>
              <w:t>AMP should be included in the costs as a real cost to the project.</w:t>
            </w:r>
          </w:p>
          <w:p w14:paraId="152CE0CD" w14:textId="77777777" w:rsidR="008F2659" w:rsidRPr="002C7BD9" w:rsidRDefault="008F2659" w:rsidP="0071721F">
            <w:pPr>
              <w:pStyle w:val="BodyText"/>
              <w:numPr>
                <w:ilvl w:val="0"/>
                <w:numId w:val="31"/>
              </w:numPr>
              <w:spacing w:line="240" w:lineRule="auto"/>
              <w:ind w:left="360"/>
              <w:jc w:val="left"/>
              <w:rPr>
                <w:sz w:val="20"/>
                <w:szCs w:val="20"/>
              </w:rPr>
            </w:pPr>
            <w:r w:rsidRPr="002C7BD9">
              <w:rPr>
                <w:sz w:val="20"/>
                <w:szCs w:val="20"/>
              </w:rPr>
              <w:t>What is the approximate cost for a mobile treatment - the bulk part difference should be included in this exercise?</w:t>
            </w:r>
          </w:p>
          <w:p w14:paraId="75B8D4B6" w14:textId="77777777" w:rsidR="008F2659" w:rsidRPr="002C7BD9" w:rsidRDefault="008F2659" w:rsidP="0071721F">
            <w:pPr>
              <w:pStyle w:val="BodyText"/>
              <w:numPr>
                <w:ilvl w:val="0"/>
                <w:numId w:val="31"/>
              </w:numPr>
              <w:spacing w:line="240" w:lineRule="auto"/>
              <w:ind w:left="360"/>
              <w:jc w:val="left"/>
              <w:rPr>
                <w:sz w:val="20"/>
                <w:szCs w:val="20"/>
              </w:rPr>
            </w:pPr>
            <w:r w:rsidRPr="002C7BD9">
              <w:rPr>
                <w:sz w:val="20"/>
                <w:szCs w:val="20"/>
              </w:rPr>
              <w:t xml:space="preserve">YG wishes to note that procurement cannot be a driver to refine cost in the next design phase. The next design phase cannot proceed without further cost refinement. </w:t>
            </w:r>
          </w:p>
          <w:p w14:paraId="1EB844CA" w14:textId="77777777" w:rsidR="008F2659" w:rsidRDefault="008F2659" w:rsidP="0071721F">
            <w:pPr>
              <w:pStyle w:val="BodyText"/>
              <w:spacing w:line="240" w:lineRule="auto"/>
              <w:jc w:val="left"/>
              <w:rPr>
                <w:sz w:val="20"/>
                <w:szCs w:val="20"/>
              </w:rPr>
            </w:pPr>
            <w:r w:rsidRPr="002C7BD9">
              <w:rPr>
                <w:sz w:val="20"/>
                <w:szCs w:val="20"/>
              </w:rPr>
              <w:t>(The document does not need to be modified but a note to be considered in the future, i.e.</w:t>
            </w:r>
            <w:r>
              <w:rPr>
                <w:sz w:val="20"/>
                <w:szCs w:val="20"/>
              </w:rPr>
              <w:t>,</w:t>
            </w:r>
            <w:r w:rsidRPr="002C7BD9">
              <w:rPr>
                <w:sz w:val="20"/>
                <w:szCs w:val="20"/>
              </w:rPr>
              <w:t xml:space="preserve"> this approach does not permit the project to move forward, certainty on cost will need to occur prior to tender).</w:t>
            </w:r>
          </w:p>
          <w:p w14:paraId="1E33A8D1" w14:textId="77777777" w:rsidR="008F2659" w:rsidRDefault="008F2659" w:rsidP="0071721F">
            <w:pPr>
              <w:pStyle w:val="BodyText"/>
              <w:spacing w:line="240" w:lineRule="auto"/>
              <w:jc w:val="left"/>
              <w:rPr>
                <w:sz w:val="20"/>
                <w:szCs w:val="20"/>
              </w:rPr>
            </w:pPr>
          </w:p>
          <w:p w14:paraId="38E1298B" w14:textId="77777777" w:rsidR="008F2659" w:rsidRDefault="008F2659" w:rsidP="0071721F">
            <w:pPr>
              <w:pStyle w:val="BodyText"/>
              <w:spacing w:line="240" w:lineRule="auto"/>
              <w:jc w:val="left"/>
              <w:rPr>
                <w:sz w:val="20"/>
                <w:szCs w:val="20"/>
              </w:rPr>
            </w:pPr>
          </w:p>
          <w:p w14:paraId="31038746" w14:textId="77777777" w:rsidR="008F2659" w:rsidRDefault="008F2659" w:rsidP="0071721F">
            <w:pPr>
              <w:pStyle w:val="BodyText"/>
              <w:spacing w:line="240" w:lineRule="auto"/>
              <w:jc w:val="left"/>
              <w:rPr>
                <w:sz w:val="20"/>
                <w:szCs w:val="20"/>
              </w:rPr>
            </w:pPr>
          </w:p>
          <w:p w14:paraId="6F6950BC" w14:textId="77777777" w:rsidR="008F2659" w:rsidRDefault="008F2659" w:rsidP="0071721F">
            <w:pPr>
              <w:pStyle w:val="BodyText"/>
              <w:spacing w:line="240" w:lineRule="auto"/>
              <w:jc w:val="left"/>
              <w:rPr>
                <w:sz w:val="20"/>
                <w:szCs w:val="20"/>
              </w:rPr>
            </w:pPr>
          </w:p>
          <w:p w14:paraId="7B3DDBA2" w14:textId="77777777" w:rsidR="008F2659" w:rsidRDefault="008F2659" w:rsidP="0071721F">
            <w:pPr>
              <w:pStyle w:val="BodyText"/>
              <w:spacing w:line="240" w:lineRule="auto"/>
              <w:jc w:val="left"/>
              <w:rPr>
                <w:sz w:val="20"/>
                <w:szCs w:val="20"/>
              </w:rPr>
            </w:pPr>
          </w:p>
          <w:p w14:paraId="5DD5601E" w14:textId="77777777" w:rsidR="005C0BE1" w:rsidRDefault="005C0BE1" w:rsidP="0071721F">
            <w:pPr>
              <w:pStyle w:val="BodyText"/>
              <w:spacing w:line="240" w:lineRule="auto"/>
              <w:jc w:val="left"/>
              <w:rPr>
                <w:sz w:val="20"/>
                <w:szCs w:val="20"/>
              </w:rPr>
            </w:pPr>
          </w:p>
          <w:p w14:paraId="0F1FBF81" w14:textId="77777777" w:rsidR="008F2659" w:rsidRDefault="008F2659" w:rsidP="0071721F">
            <w:pPr>
              <w:pStyle w:val="BodyText"/>
              <w:spacing w:line="240" w:lineRule="auto"/>
              <w:jc w:val="left"/>
              <w:rPr>
                <w:sz w:val="20"/>
                <w:szCs w:val="20"/>
              </w:rPr>
            </w:pPr>
          </w:p>
          <w:p w14:paraId="50026FD6" w14:textId="77777777" w:rsidR="008F2659" w:rsidRDefault="008F2659" w:rsidP="0071721F">
            <w:pPr>
              <w:pStyle w:val="BodyText"/>
              <w:spacing w:line="240" w:lineRule="auto"/>
              <w:jc w:val="left"/>
              <w:rPr>
                <w:sz w:val="20"/>
                <w:szCs w:val="20"/>
              </w:rPr>
            </w:pPr>
          </w:p>
          <w:p w14:paraId="08893285" w14:textId="77777777" w:rsidR="008F2659" w:rsidRDefault="008F2659" w:rsidP="0071721F">
            <w:pPr>
              <w:pStyle w:val="BodyText"/>
              <w:spacing w:line="240" w:lineRule="auto"/>
              <w:jc w:val="left"/>
              <w:rPr>
                <w:sz w:val="20"/>
                <w:szCs w:val="20"/>
              </w:rPr>
            </w:pPr>
          </w:p>
          <w:p w14:paraId="1263E0A0" w14:textId="77777777" w:rsidR="008F2659" w:rsidRDefault="008F2659" w:rsidP="0071721F">
            <w:pPr>
              <w:pStyle w:val="BodyText"/>
              <w:spacing w:line="240" w:lineRule="auto"/>
              <w:jc w:val="left"/>
              <w:rPr>
                <w:sz w:val="20"/>
                <w:szCs w:val="20"/>
              </w:rPr>
            </w:pPr>
          </w:p>
          <w:p w14:paraId="360897A9" w14:textId="77777777" w:rsidR="008F2659" w:rsidRDefault="008F2659" w:rsidP="0071721F">
            <w:pPr>
              <w:pStyle w:val="BodyText"/>
              <w:spacing w:line="240" w:lineRule="auto"/>
              <w:jc w:val="left"/>
              <w:rPr>
                <w:sz w:val="20"/>
                <w:szCs w:val="20"/>
              </w:rPr>
            </w:pPr>
            <w:r>
              <w:rPr>
                <w:sz w:val="20"/>
                <w:szCs w:val="20"/>
                <w:u w:val="single"/>
              </w:rPr>
              <w:t>AAM Follow-up on 21 November Response</w:t>
            </w:r>
          </w:p>
          <w:p w14:paraId="10E70B72" w14:textId="77777777" w:rsidR="008F2659" w:rsidRDefault="008F2659" w:rsidP="0071721F">
            <w:pPr>
              <w:pStyle w:val="BodyText"/>
              <w:spacing w:line="240" w:lineRule="auto"/>
              <w:jc w:val="left"/>
              <w:rPr>
                <w:sz w:val="20"/>
                <w:szCs w:val="20"/>
              </w:rPr>
            </w:pPr>
          </w:p>
          <w:p w14:paraId="4EC54BD1" w14:textId="0BE203BB" w:rsidR="008F2659" w:rsidRPr="001C7611" w:rsidRDefault="008F2659" w:rsidP="001C7611">
            <w:pPr>
              <w:pStyle w:val="BodyText"/>
              <w:spacing w:line="240" w:lineRule="auto"/>
              <w:jc w:val="left"/>
              <w:rPr>
                <w:sz w:val="20"/>
                <w:szCs w:val="20"/>
              </w:rPr>
            </w:pPr>
            <w:r w:rsidRPr="001C7611">
              <w:rPr>
                <w:sz w:val="20"/>
                <w:szCs w:val="20"/>
              </w:rPr>
              <w:t xml:space="preserve">This comment was meant to address the bulk cost difference between a mobile vs. a fix WT within the sensitivity analysis, not to discuss </w:t>
            </w:r>
            <w:r>
              <w:rPr>
                <w:sz w:val="20"/>
                <w:szCs w:val="20"/>
              </w:rPr>
              <w:t>the difference between the AECOM</w:t>
            </w:r>
            <w:r w:rsidRPr="001C7611">
              <w:rPr>
                <w:sz w:val="20"/>
                <w:szCs w:val="20"/>
              </w:rPr>
              <w:t xml:space="preserve"> and AMEC estimates.</w:t>
            </w:r>
          </w:p>
        </w:tc>
        <w:tc>
          <w:tcPr>
            <w:tcW w:w="5310" w:type="dxa"/>
            <w:vMerge w:val="restart"/>
          </w:tcPr>
          <w:p w14:paraId="01FA7AF4" w14:textId="77777777" w:rsidR="008F2659" w:rsidRDefault="008F2659" w:rsidP="0003378F">
            <w:pPr>
              <w:pStyle w:val="BodyText"/>
              <w:numPr>
                <w:ilvl w:val="0"/>
                <w:numId w:val="31"/>
              </w:numPr>
              <w:spacing w:line="240" w:lineRule="auto"/>
              <w:ind w:left="360"/>
              <w:jc w:val="left"/>
              <w:rPr>
                <w:sz w:val="20"/>
                <w:szCs w:val="20"/>
              </w:rPr>
            </w:pPr>
            <w:r>
              <w:rPr>
                <w:sz w:val="20"/>
                <w:szCs w:val="20"/>
              </w:rPr>
              <w:t>Separate entries for Design Contingencies (DC) and Adaptive Management Plans (AMP) have been incorporated into Table 3.2-1. The cost reconciliation and sensitivity analysis tables incorporate separate line items for DC and AMP.</w:t>
            </w:r>
          </w:p>
          <w:p w14:paraId="014B96F2" w14:textId="77777777" w:rsidR="008F2659" w:rsidRDefault="008F2659" w:rsidP="0003378F">
            <w:pPr>
              <w:pStyle w:val="BodyText"/>
              <w:numPr>
                <w:ilvl w:val="0"/>
                <w:numId w:val="31"/>
              </w:numPr>
              <w:spacing w:line="240" w:lineRule="auto"/>
              <w:ind w:left="360"/>
              <w:jc w:val="left"/>
              <w:rPr>
                <w:sz w:val="20"/>
                <w:szCs w:val="20"/>
              </w:rPr>
            </w:pPr>
            <w:r>
              <w:rPr>
                <w:sz w:val="20"/>
                <w:szCs w:val="20"/>
              </w:rPr>
              <w:t>The original cost estimate included AMP costs in formats that can be included, or excluded, from the total project estimate, depending on the estimating policies and/or practices of the individual parties.</w:t>
            </w:r>
          </w:p>
          <w:p w14:paraId="4BEA6D26" w14:textId="77777777" w:rsidR="008F2659" w:rsidRDefault="008F2659" w:rsidP="0003378F">
            <w:pPr>
              <w:pStyle w:val="BodyText"/>
              <w:numPr>
                <w:ilvl w:val="0"/>
                <w:numId w:val="31"/>
              </w:numPr>
              <w:spacing w:line="240" w:lineRule="auto"/>
              <w:ind w:left="360"/>
              <w:jc w:val="left"/>
              <w:rPr>
                <w:sz w:val="20"/>
                <w:szCs w:val="20"/>
              </w:rPr>
            </w:pPr>
            <w:r>
              <w:rPr>
                <w:sz w:val="20"/>
                <w:szCs w:val="20"/>
              </w:rPr>
              <w:t xml:space="preserve">The selection of fixed vs. mobile water treatment capabilities was just one of several factors that influenced the difference in treatment costs in the AECOM and AMEC estimates. It is difficult from the available cost data to partition the differences in ways that would reliably identify the proportion relating specifically to </w:t>
            </w:r>
            <w:proofErr w:type="gramStart"/>
            <w:r>
              <w:rPr>
                <w:sz w:val="20"/>
                <w:szCs w:val="20"/>
              </w:rPr>
              <w:t>fixed</w:t>
            </w:r>
            <w:proofErr w:type="gramEnd"/>
            <w:r>
              <w:rPr>
                <w:sz w:val="20"/>
                <w:szCs w:val="20"/>
              </w:rPr>
              <w:t xml:space="preserve"> vs. mobile equipment. Further, this particular difference isn’t really a discretionary decision, but one that is determined by a variety of design factors (i.e., required hydraulic throughput, number and scale of treatment units, treatment efficiencies, and reagent consumption).</w:t>
            </w:r>
          </w:p>
          <w:p w14:paraId="78B5D93F" w14:textId="77777777" w:rsidR="008F2659" w:rsidRDefault="008F2659" w:rsidP="0003378F">
            <w:pPr>
              <w:pStyle w:val="BodyText"/>
              <w:numPr>
                <w:ilvl w:val="0"/>
                <w:numId w:val="31"/>
              </w:numPr>
              <w:spacing w:line="240" w:lineRule="auto"/>
              <w:ind w:left="360"/>
              <w:jc w:val="left"/>
              <w:rPr>
                <w:sz w:val="20"/>
                <w:szCs w:val="20"/>
              </w:rPr>
            </w:pPr>
            <w:r>
              <w:rPr>
                <w:sz w:val="20"/>
                <w:szCs w:val="20"/>
              </w:rPr>
              <w:t>YG’s comments about the influence of procurement methods on the near term needs for more cost certainty are acknowledged and understood and a note to that effect has been added to the text.</w:t>
            </w:r>
          </w:p>
          <w:p w14:paraId="735C4E8E" w14:textId="77777777" w:rsidR="008F2659" w:rsidRDefault="008F2659" w:rsidP="001C7611">
            <w:pPr>
              <w:pStyle w:val="BodyText"/>
              <w:spacing w:line="240" w:lineRule="auto"/>
              <w:jc w:val="left"/>
              <w:rPr>
                <w:sz w:val="20"/>
                <w:szCs w:val="20"/>
              </w:rPr>
            </w:pPr>
          </w:p>
          <w:p w14:paraId="373E836A" w14:textId="74444DA6" w:rsidR="008F2659" w:rsidRPr="001C7611" w:rsidRDefault="008F2659" w:rsidP="001C7611">
            <w:pPr>
              <w:pStyle w:val="BodyText"/>
              <w:spacing w:line="240" w:lineRule="auto"/>
              <w:jc w:val="left"/>
              <w:rPr>
                <w:sz w:val="20"/>
                <w:szCs w:val="20"/>
                <w:u w:val="single"/>
              </w:rPr>
            </w:pPr>
            <w:r>
              <w:rPr>
                <w:sz w:val="20"/>
                <w:szCs w:val="20"/>
                <w:u w:val="single"/>
              </w:rPr>
              <w:t>Response to Follow-up</w:t>
            </w:r>
          </w:p>
          <w:p w14:paraId="7B63D8D4" w14:textId="77777777" w:rsidR="008F2659" w:rsidRDefault="008F2659" w:rsidP="001C7611">
            <w:pPr>
              <w:pStyle w:val="BodyText"/>
              <w:spacing w:line="240" w:lineRule="auto"/>
              <w:jc w:val="left"/>
              <w:rPr>
                <w:sz w:val="20"/>
                <w:szCs w:val="20"/>
              </w:rPr>
            </w:pPr>
          </w:p>
          <w:p w14:paraId="7B6A3438" w14:textId="40824336" w:rsidR="008F2659" w:rsidRPr="00B40E50" w:rsidRDefault="008F2659" w:rsidP="001C7611">
            <w:pPr>
              <w:pStyle w:val="BodyText"/>
              <w:spacing w:line="240" w:lineRule="auto"/>
              <w:jc w:val="left"/>
              <w:rPr>
                <w:sz w:val="20"/>
                <w:szCs w:val="20"/>
              </w:rPr>
            </w:pPr>
            <w:r>
              <w:rPr>
                <w:sz w:val="20"/>
                <w:szCs w:val="20"/>
              </w:rPr>
              <w:t>Acknowledged.</w:t>
            </w:r>
          </w:p>
        </w:tc>
      </w:tr>
      <w:tr w:rsidR="008F2659" w:rsidRPr="00B40E50" w14:paraId="46774342" w14:textId="77777777" w:rsidTr="008F2659">
        <w:trPr>
          <w:trHeight w:val="3705"/>
        </w:trPr>
        <w:tc>
          <w:tcPr>
            <w:tcW w:w="2430" w:type="dxa"/>
            <w:tcBorders>
              <w:top w:val="nil"/>
              <w:bottom w:val="single" w:sz="4" w:space="0" w:color="auto"/>
            </w:tcBorders>
          </w:tcPr>
          <w:p w14:paraId="514E39CE" w14:textId="77777777" w:rsidR="008F2659" w:rsidRPr="002C7BD9" w:rsidRDefault="008F2659" w:rsidP="0071721F">
            <w:pPr>
              <w:pStyle w:val="BodyText"/>
              <w:spacing w:line="240" w:lineRule="auto"/>
              <w:jc w:val="left"/>
              <w:rPr>
                <w:b/>
                <w:bCs/>
                <w:sz w:val="20"/>
                <w:szCs w:val="20"/>
              </w:rPr>
            </w:pPr>
          </w:p>
        </w:tc>
        <w:tc>
          <w:tcPr>
            <w:tcW w:w="5310" w:type="dxa"/>
            <w:vMerge/>
          </w:tcPr>
          <w:p w14:paraId="410C76E4" w14:textId="77777777" w:rsidR="008F2659" w:rsidRPr="002C7BD9" w:rsidRDefault="008F2659" w:rsidP="0071721F">
            <w:pPr>
              <w:pStyle w:val="BodyText"/>
              <w:spacing w:line="240" w:lineRule="auto"/>
              <w:jc w:val="left"/>
              <w:rPr>
                <w:sz w:val="20"/>
                <w:szCs w:val="20"/>
              </w:rPr>
            </w:pPr>
          </w:p>
        </w:tc>
        <w:tc>
          <w:tcPr>
            <w:tcW w:w="5310" w:type="dxa"/>
            <w:vMerge/>
          </w:tcPr>
          <w:p w14:paraId="1639E79E" w14:textId="77777777" w:rsidR="008F2659" w:rsidRDefault="008F2659" w:rsidP="0003378F">
            <w:pPr>
              <w:pStyle w:val="BodyText"/>
              <w:numPr>
                <w:ilvl w:val="0"/>
                <w:numId w:val="31"/>
              </w:numPr>
              <w:spacing w:line="240" w:lineRule="auto"/>
              <w:ind w:left="360"/>
              <w:jc w:val="left"/>
              <w:rPr>
                <w:sz w:val="20"/>
                <w:szCs w:val="20"/>
              </w:rPr>
            </w:pPr>
          </w:p>
        </w:tc>
      </w:tr>
      <w:tr w:rsidR="002C7BD9" w:rsidRPr="00B40E50" w14:paraId="5321ADA9" w14:textId="77777777" w:rsidTr="00454289">
        <w:tc>
          <w:tcPr>
            <w:tcW w:w="2430" w:type="dxa"/>
            <w:tcBorders>
              <w:top w:val="single" w:sz="4" w:space="0" w:color="auto"/>
            </w:tcBorders>
          </w:tcPr>
          <w:p w14:paraId="39ED6FF3" w14:textId="77777777" w:rsidR="002C7BD9" w:rsidRPr="002C7BD9" w:rsidRDefault="002C7BD9" w:rsidP="00454289">
            <w:pPr>
              <w:pStyle w:val="BodyText"/>
              <w:pageBreakBefore/>
              <w:spacing w:line="240" w:lineRule="auto"/>
              <w:jc w:val="left"/>
              <w:rPr>
                <w:b/>
                <w:bCs/>
                <w:sz w:val="20"/>
                <w:szCs w:val="20"/>
              </w:rPr>
            </w:pPr>
          </w:p>
        </w:tc>
        <w:tc>
          <w:tcPr>
            <w:tcW w:w="5310" w:type="dxa"/>
          </w:tcPr>
          <w:p w14:paraId="64ECA2BA" w14:textId="77777777" w:rsidR="002C7BD9" w:rsidRPr="002C7BD9" w:rsidRDefault="002C7BD9" w:rsidP="00454289">
            <w:pPr>
              <w:pStyle w:val="BodyText"/>
              <w:pageBreakBefore/>
              <w:spacing w:line="240" w:lineRule="auto"/>
              <w:jc w:val="left"/>
              <w:rPr>
                <w:sz w:val="20"/>
                <w:szCs w:val="20"/>
              </w:rPr>
            </w:pPr>
            <w:r w:rsidRPr="002C7BD9">
              <w:rPr>
                <w:sz w:val="20"/>
                <w:szCs w:val="20"/>
              </w:rPr>
              <w:t>(AANDC)</w:t>
            </w:r>
          </w:p>
          <w:p w14:paraId="652BB786" w14:textId="77777777" w:rsidR="002C7BD9" w:rsidRPr="002C7BD9" w:rsidRDefault="002C7BD9" w:rsidP="00454289">
            <w:pPr>
              <w:pStyle w:val="BodyText"/>
              <w:pageBreakBefore/>
              <w:numPr>
                <w:ilvl w:val="0"/>
                <w:numId w:val="31"/>
              </w:numPr>
              <w:spacing w:line="240" w:lineRule="auto"/>
              <w:ind w:left="360"/>
              <w:jc w:val="left"/>
              <w:rPr>
                <w:sz w:val="20"/>
                <w:szCs w:val="20"/>
              </w:rPr>
            </w:pPr>
            <w:r w:rsidRPr="002C7BD9">
              <w:rPr>
                <w:sz w:val="20"/>
                <w:szCs w:val="20"/>
              </w:rPr>
              <w:t>Option 4 – throw tailings at in-place MC into the pit and cover to reduce infiltration – 30% Design – dewater tailings as much as possible, temporary cover, then permanent cover to help mitigate effect of tailings ARD. These two assumptions seem fundamentally different and reasoning for the variation should be included in t</w:t>
            </w:r>
            <w:r>
              <w:rPr>
                <w:sz w:val="20"/>
                <w:szCs w:val="20"/>
              </w:rPr>
              <w:t>h</w:t>
            </w:r>
            <w:r w:rsidR="00A108C4">
              <w:rPr>
                <w:sz w:val="20"/>
                <w:szCs w:val="20"/>
              </w:rPr>
              <w:t xml:space="preserve">is report. </w:t>
            </w:r>
            <w:r w:rsidRPr="002C7BD9">
              <w:rPr>
                <w:sz w:val="20"/>
                <w:szCs w:val="20"/>
              </w:rPr>
              <w:t xml:space="preserve">Can AMEC’s </w:t>
            </w:r>
            <w:r>
              <w:rPr>
                <w:sz w:val="20"/>
                <w:szCs w:val="20"/>
              </w:rPr>
              <w:t>design accommodate tailings with</w:t>
            </w:r>
            <w:r w:rsidRPr="002C7BD9">
              <w:rPr>
                <w:sz w:val="20"/>
                <w:szCs w:val="20"/>
              </w:rPr>
              <w:t xml:space="preserve"> a high MC in the pit?</w:t>
            </w:r>
          </w:p>
          <w:p w14:paraId="592C767B" w14:textId="77777777" w:rsidR="002C7BD9" w:rsidRPr="002C7BD9" w:rsidRDefault="002C7BD9" w:rsidP="00454289">
            <w:pPr>
              <w:pStyle w:val="BodyText"/>
              <w:pageBreakBefore/>
              <w:numPr>
                <w:ilvl w:val="0"/>
                <w:numId w:val="31"/>
              </w:numPr>
              <w:spacing w:line="240" w:lineRule="auto"/>
              <w:ind w:left="360"/>
              <w:jc w:val="left"/>
              <w:rPr>
                <w:sz w:val="20"/>
                <w:szCs w:val="20"/>
              </w:rPr>
            </w:pPr>
            <w:r w:rsidRPr="002C7BD9">
              <w:rPr>
                <w:sz w:val="20"/>
                <w:szCs w:val="20"/>
              </w:rPr>
              <w:t>Some of the site characterization assumptions of changes, we should outline which ones and how that impacts the design</w:t>
            </w:r>
            <w:r>
              <w:rPr>
                <w:sz w:val="20"/>
                <w:szCs w:val="20"/>
              </w:rPr>
              <w:t>.</w:t>
            </w:r>
          </w:p>
          <w:p w14:paraId="19CA2E9E" w14:textId="77777777" w:rsidR="002C7BD9" w:rsidRPr="002C7BD9" w:rsidRDefault="002C7BD9" w:rsidP="00454289">
            <w:pPr>
              <w:pStyle w:val="BodyText"/>
              <w:pageBreakBefore/>
              <w:numPr>
                <w:ilvl w:val="0"/>
                <w:numId w:val="31"/>
              </w:numPr>
              <w:spacing w:line="240" w:lineRule="auto"/>
              <w:ind w:left="360"/>
              <w:jc w:val="left"/>
              <w:rPr>
                <w:sz w:val="20"/>
                <w:szCs w:val="20"/>
              </w:rPr>
            </w:pPr>
            <w:r w:rsidRPr="002C7BD9">
              <w:rPr>
                <w:sz w:val="20"/>
                <w:szCs w:val="20"/>
              </w:rPr>
              <w:t xml:space="preserve">Have the key </w:t>
            </w:r>
            <w:r w:rsidR="00150E16">
              <w:rPr>
                <w:sz w:val="20"/>
                <w:szCs w:val="20"/>
              </w:rPr>
              <w:t>tenet</w:t>
            </w:r>
            <w:r w:rsidRPr="002C7BD9">
              <w:rPr>
                <w:sz w:val="20"/>
                <w:szCs w:val="20"/>
              </w:rPr>
              <w:t>s changed or evolved from the Lorax Option 4 to the AMEC design, if so what is the justification?</w:t>
            </w:r>
          </w:p>
          <w:p w14:paraId="7C6B2662" w14:textId="77777777" w:rsidR="002C7BD9" w:rsidRPr="002C7BD9" w:rsidRDefault="002C7BD9" w:rsidP="00454289">
            <w:pPr>
              <w:pStyle w:val="BodyText"/>
              <w:pageBreakBefore/>
              <w:numPr>
                <w:ilvl w:val="0"/>
                <w:numId w:val="31"/>
              </w:numPr>
              <w:spacing w:line="240" w:lineRule="auto"/>
              <w:ind w:left="360"/>
              <w:jc w:val="left"/>
              <w:rPr>
                <w:sz w:val="20"/>
                <w:szCs w:val="20"/>
              </w:rPr>
            </w:pPr>
            <w:r w:rsidRPr="002C7BD9">
              <w:rPr>
                <w:sz w:val="20"/>
                <w:szCs w:val="20"/>
              </w:rPr>
              <w:t xml:space="preserve">How does the downstream water quality in </w:t>
            </w:r>
            <w:r w:rsidR="00966193" w:rsidRPr="002C7BD9">
              <w:rPr>
                <w:sz w:val="20"/>
                <w:szCs w:val="20"/>
              </w:rPr>
              <w:t>AMEC design</w:t>
            </w:r>
            <w:r w:rsidRPr="002C7BD9">
              <w:rPr>
                <w:sz w:val="20"/>
                <w:szCs w:val="20"/>
              </w:rPr>
              <w:t xml:space="preserve"> compare to the Lorax Option 4 work</w:t>
            </w:r>
            <w:r>
              <w:rPr>
                <w:sz w:val="20"/>
                <w:szCs w:val="20"/>
              </w:rPr>
              <w:t>?</w:t>
            </w:r>
          </w:p>
        </w:tc>
        <w:tc>
          <w:tcPr>
            <w:tcW w:w="5310" w:type="dxa"/>
          </w:tcPr>
          <w:p w14:paraId="35AC6647" w14:textId="5E14ECF7" w:rsidR="002C7BD9" w:rsidRDefault="0071721F" w:rsidP="00454289">
            <w:pPr>
              <w:pStyle w:val="BodyText"/>
              <w:pageBreakBefore/>
              <w:numPr>
                <w:ilvl w:val="0"/>
                <w:numId w:val="31"/>
              </w:numPr>
              <w:spacing w:line="240" w:lineRule="auto"/>
              <w:ind w:left="360"/>
              <w:jc w:val="left"/>
              <w:rPr>
                <w:sz w:val="20"/>
                <w:szCs w:val="20"/>
              </w:rPr>
            </w:pPr>
            <w:r>
              <w:rPr>
                <w:sz w:val="20"/>
                <w:szCs w:val="20"/>
              </w:rPr>
              <w:t>The following</w:t>
            </w:r>
            <w:r w:rsidR="00D946F8">
              <w:rPr>
                <w:sz w:val="20"/>
                <w:szCs w:val="20"/>
              </w:rPr>
              <w:t xml:space="preserve"> summary comments have been added to </w:t>
            </w:r>
            <w:r w:rsidR="001C7611">
              <w:rPr>
                <w:sz w:val="20"/>
                <w:szCs w:val="20"/>
              </w:rPr>
              <w:t>Section 2.5</w:t>
            </w:r>
            <w:r w:rsidR="00D946F8">
              <w:rPr>
                <w:sz w:val="20"/>
                <w:szCs w:val="20"/>
              </w:rPr>
              <w:t>.2:</w:t>
            </w:r>
          </w:p>
          <w:p w14:paraId="31DC8231" w14:textId="77777777" w:rsidR="00D946F8" w:rsidRDefault="00D946F8" w:rsidP="00454289">
            <w:pPr>
              <w:pStyle w:val="BodyText"/>
              <w:pageBreakBefore/>
              <w:spacing w:line="240" w:lineRule="auto"/>
              <w:ind w:left="360"/>
              <w:jc w:val="left"/>
              <w:rPr>
                <w:sz w:val="20"/>
                <w:szCs w:val="20"/>
              </w:rPr>
            </w:pPr>
            <w:r>
              <w:rPr>
                <w:sz w:val="20"/>
                <w:szCs w:val="20"/>
              </w:rPr>
              <w:t>“In short, the AMEC methodology aligned with the project need to provide conditions in the backfilled pit consistent with the development, within reasonable timelines, of a stable pit cover and reclamation surface. AECOM’s concept involves relocating tailings largely at their in-place moisture content and does not explicitly define how the result can provide surfaces stable enough to sustain the specified pit cover.”</w:t>
            </w:r>
          </w:p>
          <w:p w14:paraId="737B67D1" w14:textId="77777777" w:rsidR="00D946F8" w:rsidRDefault="00D946F8" w:rsidP="00454289">
            <w:pPr>
              <w:pStyle w:val="BodyText"/>
              <w:pageBreakBefore/>
              <w:numPr>
                <w:ilvl w:val="0"/>
                <w:numId w:val="31"/>
              </w:numPr>
              <w:spacing w:line="240" w:lineRule="auto"/>
              <w:ind w:left="360"/>
              <w:jc w:val="left"/>
              <w:rPr>
                <w:sz w:val="20"/>
                <w:szCs w:val="20"/>
              </w:rPr>
            </w:pPr>
            <w:r>
              <w:rPr>
                <w:sz w:val="20"/>
                <w:szCs w:val="20"/>
              </w:rPr>
              <w:t>Higher tailings moisture contents can be accommodated if the assumed execution methods and performance outcomes are appropriately adjusted and integrated. Indeed, the Phase 1 design considered an end dumping option that traded off a lower relocation effort for higher and less predictable tailings settlements, and concluded that the cost reductions didn’t justify the performance compromises. That said, higher tailings moisture c</w:t>
            </w:r>
            <w:r w:rsidR="00150E16">
              <w:rPr>
                <w:sz w:val="20"/>
                <w:szCs w:val="20"/>
              </w:rPr>
              <w:t>ontents could be considered if Driving P</w:t>
            </w:r>
            <w:r>
              <w:rPr>
                <w:sz w:val="20"/>
                <w:szCs w:val="20"/>
              </w:rPr>
              <w:t>r</w:t>
            </w:r>
            <w:r w:rsidR="00150E16">
              <w:rPr>
                <w:sz w:val="20"/>
                <w:szCs w:val="20"/>
              </w:rPr>
              <w:t>oject C</w:t>
            </w:r>
            <w:r>
              <w:rPr>
                <w:sz w:val="20"/>
                <w:szCs w:val="20"/>
              </w:rPr>
              <w:t xml:space="preserve">riteria relating to water quality and/or the stability of pit surfaces can either be met, or adjusted. During Phase 1, AMEC made the judgement that these criteria would not be relaxed, and that meeting </w:t>
            </w:r>
            <w:proofErr w:type="gramStart"/>
            <w:r>
              <w:rPr>
                <w:sz w:val="20"/>
                <w:szCs w:val="20"/>
              </w:rPr>
              <w:t>them</w:t>
            </w:r>
            <w:proofErr w:type="gramEnd"/>
            <w:r>
              <w:rPr>
                <w:sz w:val="20"/>
                <w:szCs w:val="20"/>
              </w:rPr>
              <w:t xml:space="preserve"> would be difficult and/or uncertain with higher tailings moisture contents.</w:t>
            </w:r>
          </w:p>
          <w:p w14:paraId="604AAAD8" w14:textId="77777777" w:rsidR="00D946F8" w:rsidRDefault="00D946F8" w:rsidP="00454289">
            <w:pPr>
              <w:pStyle w:val="BodyText"/>
              <w:pageBreakBefore/>
              <w:numPr>
                <w:ilvl w:val="0"/>
                <w:numId w:val="31"/>
              </w:numPr>
              <w:spacing w:line="240" w:lineRule="auto"/>
              <w:ind w:left="360"/>
              <w:jc w:val="left"/>
              <w:rPr>
                <w:sz w:val="20"/>
                <w:szCs w:val="20"/>
              </w:rPr>
            </w:pPr>
            <w:r>
              <w:rPr>
                <w:sz w:val="20"/>
                <w:szCs w:val="20"/>
              </w:rPr>
              <w:t xml:space="preserve">The 2013 Site Investigation supported the Phase 1 design development in various ways that influenced the cost estimate. However, it didn’t change the understanding of the general nature of the key scope elements, and doesn’t account for the primary differences between the AECOM and AMEC estimates. Those differences are grounded in the fact that the Phase 1 design was the first effort to integrate an assumed execution schedule with proven execution methods in ways that were judged to satisfy the driving project criteria. For example, it </w:t>
            </w:r>
            <w:r>
              <w:rPr>
                <w:sz w:val="20"/>
                <w:szCs w:val="20"/>
              </w:rPr>
              <w:lastRenderedPageBreak/>
              <w:t xml:space="preserve">has always been known that a large proportion of the tailings </w:t>
            </w:r>
            <w:r w:rsidR="007B78C5">
              <w:rPr>
                <w:sz w:val="20"/>
                <w:szCs w:val="20"/>
              </w:rPr>
              <w:t>are saturated, and while the 2013 SI program pr</w:t>
            </w:r>
            <w:r w:rsidR="00150E16">
              <w:rPr>
                <w:sz w:val="20"/>
                <w:szCs w:val="20"/>
              </w:rPr>
              <w:t>ovided additional information on</w:t>
            </w:r>
            <w:r w:rsidR="007B78C5">
              <w:rPr>
                <w:sz w:val="20"/>
                <w:szCs w:val="20"/>
              </w:rPr>
              <w:t xml:space="preserve"> the distribution and specific characteristics of wet tails, that information, in itself, did not drive the increase in the relocation cost estimate. That came from the determination that tails would need to be dewatered, mixed with rock and placed over extended timelines to provide a sustainable cover surface.</w:t>
            </w:r>
          </w:p>
          <w:p w14:paraId="2B890C4B" w14:textId="77777777" w:rsidR="007B78C5" w:rsidRDefault="007B78C5" w:rsidP="00454289">
            <w:pPr>
              <w:pStyle w:val="BodyText"/>
              <w:pageBreakBefore/>
              <w:numPr>
                <w:ilvl w:val="0"/>
                <w:numId w:val="31"/>
              </w:numPr>
              <w:spacing w:line="240" w:lineRule="auto"/>
              <w:ind w:left="360"/>
              <w:jc w:val="left"/>
              <w:rPr>
                <w:sz w:val="20"/>
                <w:szCs w:val="20"/>
              </w:rPr>
            </w:pPr>
            <w:r>
              <w:rPr>
                <w:sz w:val="20"/>
                <w:szCs w:val="20"/>
              </w:rPr>
              <w:t>AMEC do</w:t>
            </w:r>
            <w:r w:rsidR="00150E16">
              <w:rPr>
                <w:sz w:val="20"/>
                <w:szCs w:val="20"/>
              </w:rPr>
              <w:t>es not believe that the key tenet</w:t>
            </w:r>
            <w:r>
              <w:rPr>
                <w:sz w:val="20"/>
                <w:szCs w:val="20"/>
              </w:rPr>
              <w:t>s of Option</w:t>
            </w:r>
            <w:r w:rsidR="00150E16">
              <w:rPr>
                <w:sz w:val="20"/>
                <w:szCs w:val="20"/>
              </w:rPr>
              <w:t> </w:t>
            </w:r>
            <w:r>
              <w:rPr>
                <w:sz w:val="20"/>
                <w:szCs w:val="20"/>
              </w:rPr>
              <w:t>4 were mater</w:t>
            </w:r>
            <w:bookmarkStart w:id="0" w:name="_GoBack"/>
            <w:bookmarkEnd w:id="0"/>
            <w:r>
              <w:rPr>
                <w:sz w:val="20"/>
                <w:szCs w:val="20"/>
              </w:rPr>
              <w:t>ially altered during Phase 1; just the interpretations of the requirements necessary to address them. To clarify AMEC’s interpretation of the key Option</w:t>
            </w:r>
            <w:r w:rsidR="00D15FF3">
              <w:rPr>
                <w:sz w:val="20"/>
                <w:szCs w:val="20"/>
              </w:rPr>
              <w:t> </w:t>
            </w:r>
            <w:r>
              <w:rPr>
                <w:sz w:val="20"/>
                <w:szCs w:val="20"/>
              </w:rPr>
              <w:t xml:space="preserve">4 </w:t>
            </w:r>
            <w:r w:rsidR="00150E16">
              <w:rPr>
                <w:sz w:val="20"/>
                <w:szCs w:val="20"/>
              </w:rPr>
              <w:t>tenet</w:t>
            </w:r>
            <w:r>
              <w:rPr>
                <w:sz w:val="20"/>
                <w:szCs w:val="20"/>
              </w:rPr>
              <w:t xml:space="preserve">s (which are not in all cases entirely </w:t>
            </w:r>
            <w:r w:rsidR="00026533">
              <w:rPr>
                <w:sz w:val="20"/>
                <w:szCs w:val="20"/>
              </w:rPr>
              <w:t>self-evident</w:t>
            </w:r>
            <w:r>
              <w:rPr>
                <w:sz w:val="20"/>
                <w:szCs w:val="20"/>
              </w:rPr>
              <w:t xml:space="preserve">), AMEC has added descriptions of “Driving Project Criteria” to report Section </w:t>
            </w:r>
            <w:r w:rsidR="00316CE3">
              <w:rPr>
                <w:sz w:val="20"/>
                <w:szCs w:val="20"/>
              </w:rPr>
              <w:t>2.3</w:t>
            </w:r>
            <w:r>
              <w:rPr>
                <w:sz w:val="20"/>
                <w:szCs w:val="20"/>
              </w:rPr>
              <w:t>.</w:t>
            </w:r>
          </w:p>
          <w:p w14:paraId="43A95B55" w14:textId="77777777" w:rsidR="007B78C5" w:rsidRPr="00B40E50" w:rsidRDefault="007B78C5" w:rsidP="00454289">
            <w:pPr>
              <w:pStyle w:val="BodyText"/>
              <w:pageBreakBefore/>
              <w:numPr>
                <w:ilvl w:val="0"/>
                <w:numId w:val="31"/>
              </w:numPr>
              <w:spacing w:line="240" w:lineRule="auto"/>
              <w:ind w:left="360"/>
              <w:jc w:val="left"/>
              <w:rPr>
                <w:sz w:val="20"/>
                <w:szCs w:val="20"/>
              </w:rPr>
            </w:pPr>
            <w:r>
              <w:rPr>
                <w:sz w:val="20"/>
                <w:szCs w:val="20"/>
              </w:rPr>
              <w:t>AMEC’s predictions of downstream water quality were broadly similar to LORAX’s in that they were consistent with regulatory standards that would likely apply to remedial efforts (typically CCME).</w:t>
            </w:r>
          </w:p>
        </w:tc>
      </w:tr>
      <w:tr w:rsidR="00E7613D" w:rsidRPr="00B40E50" w14:paraId="157663B7" w14:textId="77777777" w:rsidTr="008F2659">
        <w:tc>
          <w:tcPr>
            <w:tcW w:w="2430" w:type="dxa"/>
          </w:tcPr>
          <w:p w14:paraId="4E1007CE" w14:textId="77777777" w:rsidR="00E7613D" w:rsidRPr="002C7BD9" w:rsidRDefault="00E7613D" w:rsidP="00E7613D">
            <w:pPr>
              <w:pStyle w:val="BodyText"/>
              <w:spacing w:line="240" w:lineRule="auto"/>
              <w:jc w:val="left"/>
              <w:rPr>
                <w:b/>
                <w:bCs/>
                <w:sz w:val="20"/>
                <w:szCs w:val="20"/>
              </w:rPr>
            </w:pPr>
            <w:r w:rsidRPr="002C7BD9">
              <w:rPr>
                <w:b/>
                <w:bCs/>
                <w:sz w:val="20"/>
                <w:szCs w:val="20"/>
              </w:rPr>
              <w:lastRenderedPageBreak/>
              <w:t>ldpoloni</w:t>
            </w:r>
            <w:r>
              <w:rPr>
                <w:b/>
                <w:bCs/>
                <w:sz w:val="20"/>
                <w:szCs w:val="20"/>
              </w:rPr>
              <w:t>, page 7</w:t>
            </w:r>
          </w:p>
          <w:p w14:paraId="58085AC0" w14:textId="77777777" w:rsidR="00E7613D" w:rsidRPr="002C7BD9" w:rsidRDefault="0003661E" w:rsidP="0003661E">
            <w:pPr>
              <w:pStyle w:val="BodyText"/>
              <w:spacing w:line="240" w:lineRule="auto"/>
              <w:jc w:val="left"/>
              <w:rPr>
                <w:b/>
                <w:bCs/>
                <w:sz w:val="20"/>
                <w:szCs w:val="20"/>
              </w:rPr>
            </w:pPr>
            <w:r>
              <w:rPr>
                <w:b/>
                <w:bCs/>
                <w:sz w:val="20"/>
                <w:szCs w:val="20"/>
              </w:rPr>
              <w:t>10</w:t>
            </w:r>
            <w:r w:rsidR="00E7613D" w:rsidRPr="002C7BD9">
              <w:rPr>
                <w:b/>
                <w:bCs/>
                <w:sz w:val="20"/>
                <w:szCs w:val="20"/>
              </w:rPr>
              <w:t xml:space="preserve">/11/2014 </w:t>
            </w:r>
            <w:r w:rsidR="00C53CDE">
              <w:rPr>
                <w:b/>
                <w:bCs/>
                <w:sz w:val="20"/>
                <w:szCs w:val="20"/>
              </w:rPr>
              <w:t>3</w:t>
            </w:r>
            <w:r w:rsidR="00E7613D">
              <w:rPr>
                <w:b/>
                <w:bCs/>
                <w:sz w:val="20"/>
                <w:szCs w:val="20"/>
              </w:rPr>
              <w:t>:</w:t>
            </w:r>
            <w:r>
              <w:rPr>
                <w:b/>
                <w:bCs/>
                <w:sz w:val="20"/>
                <w:szCs w:val="20"/>
              </w:rPr>
              <w:t>35</w:t>
            </w:r>
            <w:r w:rsidR="00E7613D">
              <w:rPr>
                <w:b/>
                <w:bCs/>
                <w:sz w:val="20"/>
                <w:szCs w:val="20"/>
              </w:rPr>
              <w:t>:</w:t>
            </w:r>
            <w:r>
              <w:rPr>
                <w:b/>
                <w:bCs/>
                <w:sz w:val="20"/>
                <w:szCs w:val="20"/>
              </w:rPr>
              <w:t>18</w:t>
            </w:r>
            <w:r w:rsidR="00E7613D">
              <w:rPr>
                <w:b/>
                <w:bCs/>
                <w:sz w:val="20"/>
                <w:szCs w:val="20"/>
              </w:rPr>
              <w:t xml:space="preserve"> PM</w:t>
            </w:r>
          </w:p>
        </w:tc>
        <w:tc>
          <w:tcPr>
            <w:tcW w:w="5310" w:type="dxa"/>
          </w:tcPr>
          <w:p w14:paraId="538E6DB0" w14:textId="77777777" w:rsidR="00E7613D" w:rsidRPr="00E7613D" w:rsidRDefault="00E7613D" w:rsidP="00E7613D">
            <w:pPr>
              <w:pStyle w:val="BodyText"/>
              <w:spacing w:line="240" w:lineRule="auto"/>
              <w:jc w:val="left"/>
              <w:rPr>
                <w:sz w:val="20"/>
                <w:szCs w:val="20"/>
              </w:rPr>
            </w:pPr>
            <w:r w:rsidRPr="00E7613D">
              <w:rPr>
                <w:sz w:val="20"/>
                <w:szCs w:val="20"/>
              </w:rPr>
              <w:t>(AANDC)</w:t>
            </w:r>
          </w:p>
          <w:p w14:paraId="1A12CF08" w14:textId="77777777" w:rsidR="00E7613D" w:rsidRPr="00E7613D" w:rsidRDefault="00E7613D" w:rsidP="00E7613D">
            <w:pPr>
              <w:pStyle w:val="BodyText"/>
              <w:numPr>
                <w:ilvl w:val="0"/>
                <w:numId w:val="31"/>
              </w:numPr>
              <w:spacing w:line="240" w:lineRule="auto"/>
              <w:ind w:left="360"/>
              <w:jc w:val="left"/>
              <w:rPr>
                <w:sz w:val="20"/>
                <w:szCs w:val="20"/>
              </w:rPr>
            </w:pPr>
            <w:r w:rsidRPr="00E7613D">
              <w:rPr>
                <w:sz w:val="20"/>
                <w:szCs w:val="20"/>
              </w:rPr>
              <w:t>Review the Lorax key assumptions and speak to them in relation to the new work completed.</w:t>
            </w:r>
          </w:p>
          <w:p w14:paraId="5E9D346E" w14:textId="77777777" w:rsidR="00E7613D" w:rsidRPr="00E7613D" w:rsidRDefault="00E7613D" w:rsidP="00E7613D">
            <w:pPr>
              <w:pStyle w:val="BodyText"/>
              <w:spacing w:line="240" w:lineRule="auto"/>
              <w:jc w:val="left"/>
              <w:rPr>
                <w:sz w:val="20"/>
                <w:szCs w:val="20"/>
              </w:rPr>
            </w:pPr>
            <w:r w:rsidRPr="00E7613D">
              <w:rPr>
                <w:sz w:val="20"/>
                <w:szCs w:val="20"/>
              </w:rPr>
              <w:t>(AAM)</w:t>
            </w:r>
          </w:p>
          <w:p w14:paraId="4FF14796" w14:textId="77777777" w:rsidR="00E7613D" w:rsidRPr="00B228EF" w:rsidRDefault="00E7613D" w:rsidP="00E7613D">
            <w:pPr>
              <w:pStyle w:val="BodyText"/>
              <w:numPr>
                <w:ilvl w:val="0"/>
                <w:numId w:val="31"/>
              </w:numPr>
              <w:spacing w:line="240" w:lineRule="auto"/>
              <w:ind w:left="360"/>
              <w:jc w:val="left"/>
              <w:rPr>
                <w:sz w:val="20"/>
                <w:szCs w:val="20"/>
              </w:rPr>
            </w:pPr>
            <w:r>
              <w:rPr>
                <w:sz w:val="20"/>
                <w:szCs w:val="20"/>
              </w:rPr>
              <w:t>H</w:t>
            </w:r>
            <w:r w:rsidRPr="00E7613D">
              <w:rPr>
                <w:sz w:val="20"/>
                <w:szCs w:val="20"/>
              </w:rPr>
              <w:t xml:space="preserve">ere </w:t>
            </w:r>
            <w:r>
              <w:rPr>
                <w:sz w:val="20"/>
                <w:szCs w:val="20"/>
              </w:rPr>
              <w:t>are some assumptions that have</w:t>
            </w:r>
            <w:r w:rsidRPr="00E7613D">
              <w:rPr>
                <w:sz w:val="20"/>
                <w:szCs w:val="20"/>
              </w:rPr>
              <w:t xml:space="preserve"> significantly been modified (ex. Lorax - No PAG, AMEC - PAG rock at site), they should be id</w:t>
            </w:r>
            <w:r>
              <w:rPr>
                <w:sz w:val="20"/>
                <w:szCs w:val="20"/>
              </w:rPr>
              <w:t>entified as part of this exercis</w:t>
            </w:r>
            <w:r w:rsidRPr="00E7613D">
              <w:rPr>
                <w:sz w:val="20"/>
                <w:szCs w:val="20"/>
              </w:rPr>
              <w:t>e, the reason for it (upon additional SI, PAG was discovered?) as well as how they impact the costs and the rational for it.</w:t>
            </w:r>
          </w:p>
        </w:tc>
        <w:tc>
          <w:tcPr>
            <w:tcW w:w="5310" w:type="dxa"/>
          </w:tcPr>
          <w:p w14:paraId="76542758" w14:textId="49D96F24" w:rsidR="00E7613D" w:rsidRPr="00B40E50" w:rsidRDefault="009A070B" w:rsidP="00150E16">
            <w:pPr>
              <w:pStyle w:val="BodyText"/>
              <w:numPr>
                <w:ilvl w:val="0"/>
                <w:numId w:val="31"/>
              </w:numPr>
              <w:spacing w:line="240" w:lineRule="auto"/>
              <w:ind w:left="360"/>
              <w:jc w:val="left"/>
              <w:rPr>
                <w:sz w:val="20"/>
                <w:szCs w:val="20"/>
              </w:rPr>
            </w:pPr>
            <w:r>
              <w:rPr>
                <w:sz w:val="20"/>
                <w:szCs w:val="20"/>
              </w:rPr>
              <w:t>This commentary on the LORAX assumptions, and on the impact of key Phase 1 design assumpti</w:t>
            </w:r>
            <w:r w:rsidR="001C7611">
              <w:rPr>
                <w:sz w:val="20"/>
                <w:szCs w:val="20"/>
              </w:rPr>
              <w:t>ons are addressed in Section 2.5</w:t>
            </w:r>
            <w:r>
              <w:rPr>
                <w:sz w:val="20"/>
                <w:szCs w:val="20"/>
              </w:rPr>
              <w:t>.2, Detailed Estimate Reconciliation, the detailed estimate reconciliation provided in Appendix 2A and in the presentation of key estimating assumptions in Table 3.2-1.</w:t>
            </w:r>
          </w:p>
        </w:tc>
      </w:tr>
      <w:tr w:rsidR="00156630" w:rsidRPr="00B40E50" w14:paraId="6E6FA3D4" w14:textId="77777777" w:rsidTr="008F2659">
        <w:trPr>
          <w:cantSplit/>
        </w:trPr>
        <w:tc>
          <w:tcPr>
            <w:tcW w:w="2430" w:type="dxa"/>
          </w:tcPr>
          <w:p w14:paraId="79DC29FC" w14:textId="77777777" w:rsidR="00156630" w:rsidRPr="002C7BD9" w:rsidRDefault="00156630" w:rsidP="00156630">
            <w:pPr>
              <w:pStyle w:val="BodyText"/>
              <w:spacing w:line="240" w:lineRule="auto"/>
              <w:jc w:val="left"/>
              <w:rPr>
                <w:b/>
                <w:bCs/>
                <w:sz w:val="20"/>
                <w:szCs w:val="20"/>
              </w:rPr>
            </w:pPr>
            <w:r w:rsidRPr="002C7BD9">
              <w:rPr>
                <w:b/>
                <w:bCs/>
                <w:sz w:val="20"/>
                <w:szCs w:val="20"/>
              </w:rPr>
              <w:lastRenderedPageBreak/>
              <w:t>ldpoloni</w:t>
            </w:r>
            <w:r>
              <w:rPr>
                <w:b/>
                <w:bCs/>
                <w:sz w:val="20"/>
                <w:szCs w:val="20"/>
              </w:rPr>
              <w:t>, page 9</w:t>
            </w:r>
          </w:p>
          <w:p w14:paraId="0E43A5D5" w14:textId="77777777" w:rsidR="00156630" w:rsidRPr="002C7BD9" w:rsidRDefault="00156630" w:rsidP="0003661E">
            <w:pPr>
              <w:pStyle w:val="BodyText"/>
              <w:spacing w:line="240" w:lineRule="auto"/>
              <w:jc w:val="left"/>
              <w:rPr>
                <w:b/>
                <w:bCs/>
                <w:sz w:val="20"/>
                <w:szCs w:val="20"/>
              </w:rPr>
            </w:pPr>
            <w:r>
              <w:rPr>
                <w:b/>
                <w:bCs/>
                <w:sz w:val="20"/>
                <w:szCs w:val="20"/>
              </w:rPr>
              <w:t>12</w:t>
            </w:r>
            <w:r w:rsidRPr="002C7BD9">
              <w:rPr>
                <w:b/>
                <w:bCs/>
                <w:sz w:val="20"/>
                <w:szCs w:val="20"/>
              </w:rPr>
              <w:t xml:space="preserve">/11/2014 </w:t>
            </w:r>
            <w:r w:rsidR="00C53CDE">
              <w:rPr>
                <w:b/>
                <w:bCs/>
                <w:sz w:val="20"/>
                <w:szCs w:val="20"/>
              </w:rPr>
              <w:t>3</w:t>
            </w:r>
            <w:r>
              <w:rPr>
                <w:b/>
                <w:bCs/>
                <w:sz w:val="20"/>
                <w:szCs w:val="20"/>
              </w:rPr>
              <w:t>:</w:t>
            </w:r>
            <w:r w:rsidR="0003661E">
              <w:rPr>
                <w:b/>
                <w:bCs/>
                <w:sz w:val="20"/>
                <w:szCs w:val="20"/>
              </w:rPr>
              <w:t>49</w:t>
            </w:r>
            <w:r>
              <w:rPr>
                <w:b/>
                <w:bCs/>
                <w:sz w:val="20"/>
                <w:szCs w:val="20"/>
              </w:rPr>
              <w:t>:</w:t>
            </w:r>
            <w:r w:rsidR="0003661E">
              <w:rPr>
                <w:b/>
                <w:bCs/>
                <w:sz w:val="20"/>
                <w:szCs w:val="20"/>
              </w:rPr>
              <w:t>19</w:t>
            </w:r>
            <w:r>
              <w:rPr>
                <w:b/>
                <w:bCs/>
                <w:sz w:val="20"/>
                <w:szCs w:val="20"/>
              </w:rPr>
              <w:t xml:space="preserve"> PM</w:t>
            </w:r>
          </w:p>
        </w:tc>
        <w:tc>
          <w:tcPr>
            <w:tcW w:w="5310" w:type="dxa"/>
          </w:tcPr>
          <w:p w14:paraId="543D8477" w14:textId="77777777" w:rsidR="00156630" w:rsidRPr="00156630" w:rsidRDefault="00156630" w:rsidP="00156630">
            <w:pPr>
              <w:pStyle w:val="BodyText"/>
              <w:spacing w:line="240" w:lineRule="auto"/>
              <w:jc w:val="left"/>
              <w:rPr>
                <w:sz w:val="20"/>
                <w:szCs w:val="20"/>
              </w:rPr>
            </w:pPr>
            <w:r w:rsidRPr="00156630">
              <w:rPr>
                <w:sz w:val="20"/>
                <w:szCs w:val="20"/>
              </w:rPr>
              <w:t>(AAM)</w:t>
            </w:r>
          </w:p>
          <w:p w14:paraId="570FA9E3" w14:textId="77777777" w:rsidR="00156630" w:rsidRPr="00156630" w:rsidRDefault="00156630" w:rsidP="00156630">
            <w:pPr>
              <w:pStyle w:val="BodyText"/>
              <w:numPr>
                <w:ilvl w:val="0"/>
                <w:numId w:val="31"/>
              </w:numPr>
              <w:spacing w:line="240" w:lineRule="auto"/>
              <w:ind w:left="360"/>
              <w:jc w:val="left"/>
              <w:rPr>
                <w:sz w:val="20"/>
                <w:szCs w:val="20"/>
              </w:rPr>
            </w:pPr>
            <w:r w:rsidRPr="00156630">
              <w:rPr>
                <w:sz w:val="20"/>
                <w:szCs w:val="20"/>
              </w:rPr>
              <w:t>Please add a column that summarizes the reasons for each differences/variance.</w:t>
            </w:r>
          </w:p>
          <w:p w14:paraId="0EF54F72" w14:textId="77777777" w:rsidR="00156630" w:rsidRPr="00156630" w:rsidRDefault="00156630" w:rsidP="00156630">
            <w:pPr>
              <w:pStyle w:val="BodyText"/>
              <w:numPr>
                <w:ilvl w:val="0"/>
                <w:numId w:val="31"/>
              </w:numPr>
              <w:spacing w:line="240" w:lineRule="auto"/>
              <w:ind w:left="360"/>
              <w:jc w:val="left"/>
              <w:rPr>
                <w:sz w:val="20"/>
                <w:szCs w:val="20"/>
              </w:rPr>
            </w:pPr>
            <w:r w:rsidRPr="00156630">
              <w:rPr>
                <w:sz w:val="20"/>
                <w:szCs w:val="20"/>
              </w:rPr>
              <w:t>It would be useful to point out that there is ~ 25M$ that have not been accounted for by AECOM as a statement in the report (i.e. if you add up all the 0s).</w:t>
            </w:r>
          </w:p>
          <w:p w14:paraId="73F5840E" w14:textId="77777777" w:rsidR="00156630" w:rsidRPr="00156630" w:rsidRDefault="00156630" w:rsidP="00156630">
            <w:pPr>
              <w:pStyle w:val="BodyText"/>
              <w:spacing w:line="240" w:lineRule="auto"/>
              <w:jc w:val="left"/>
              <w:rPr>
                <w:sz w:val="20"/>
                <w:szCs w:val="20"/>
              </w:rPr>
            </w:pPr>
            <w:r w:rsidRPr="00156630">
              <w:rPr>
                <w:sz w:val="20"/>
                <w:szCs w:val="20"/>
              </w:rPr>
              <w:t>(AANDC)</w:t>
            </w:r>
          </w:p>
          <w:p w14:paraId="2CD7FD68" w14:textId="77777777" w:rsidR="00156630" w:rsidRPr="00156630" w:rsidRDefault="00156630" w:rsidP="00156630">
            <w:pPr>
              <w:pStyle w:val="BodyText"/>
              <w:numPr>
                <w:ilvl w:val="0"/>
                <w:numId w:val="31"/>
              </w:numPr>
              <w:spacing w:line="240" w:lineRule="auto"/>
              <w:ind w:left="360"/>
              <w:jc w:val="left"/>
              <w:rPr>
                <w:sz w:val="20"/>
                <w:szCs w:val="20"/>
              </w:rPr>
            </w:pPr>
            <w:r w:rsidRPr="00156630">
              <w:rPr>
                <w:sz w:val="20"/>
                <w:szCs w:val="20"/>
              </w:rPr>
              <w:t xml:space="preserve">Consider putting difference in this table into categories related to the key </w:t>
            </w:r>
            <w:r w:rsidR="00150E16">
              <w:rPr>
                <w:sz w:val="20"/>
                <w:szCs w:val="20"/>
              </w:rPr>
              <w:t>tenet</w:t>
            </w:r>
            <w:r w:rsidRPr="00156630">
              <w:rPr>
                <w:sz w:val="20"/>
                <w:szCs w:val="20"/>
              </w:rPr>
              <w:t>s and subtotal the categories and common elements. Add percentage of total variance to table.</w:t>
            </w:r>
          </w:p>
        </w:tc>
        <w:tc>
          <w:tcPr>
            <w:tcW w:w="5310" w:type="dxa"/>
          </w:tcPr>
          <w:p w14:paraId="75213D0B" w14:textId="7742D1F9" w:rsidR="00156630" w:rsidRDefault="009A070B" w:rsidP="009A070B">
            <w:pPr>
              <w:pStyle w:val="BodyText"/>
              <w:numPr>
                <w:ilvl w:val="0"/>
                <w:numId w:val="31"/>
              </w:numPr>
              <w:spacing w:line="240" w:lineRule="auto"/>
              <w:ind w:left="360"/>
              <w:jc w:val="left"/>
              <w:rPr>
                <w:sz w:val="20"/>
                <w:szCs w:val="20"/>
              </w:rPr>
            </w:pPr>
            <w:r>
              <w:rPr>
                <w:sz w:val="20"/>
                <w:szCs w:val="20"/>
              </w:rPr>
              <w:t>Explanations for individual variances that can be identified from the available cost data are provided in the detailed reconciliation worksheets provided in Appendix 2A and summarized in the commentary provided in Section 2</w:t>
            </w:r>
            <w:r w:rsidR="001C7611">
              <w:rPr>
                <w:sz w:val="20"/>
                <w:szCs w:val="20"/>
              </w:rPr>
              <w:t>.5</w:t>
            </w:r>
            <w:r>
              <w:rPr>
                <w:sz w:val="20"/>
                <w:szCs w:val="20"/>
              </w:rPr>
              <w:t>.2, Detailed Estimate Reconciliation.</w:t>
            </w:r>
          </w:p>
          <w:p w14:paraId="172FCD07" w14:textId="5C2A0177" w:rsidR="009A070B" w:rsidRDefault="009A070B" w:rsidP="009A070B">
            <w:pPr>
              <w:pStyle w:val="BodyText"/>
              <w:numPr>
                <w:ilvl w:val="0"/>
                <w:numId w:val="31"/>
              </w:numPr>
              <w:spacing w:line="240" w:lineRule="auto"/>
              <w:ind w:left="360"/>
              <w:jc w:val="left"/>
              <w:rPr>
                <w:sz w:val="20"/>
                <w:szCs w:val="20"/>
              </w:rPr>
            </w:pPr>
            <w:r>
              <w:rPr>
                <w:sz w:val="20"/>
                <w:szCs w:val="20"/>
              </w:rPr>
              <w:t>The comments on missing scope items in Section</w:t>
            </w:r>
            <w:r w:rsidR="00D15FF3">
              <w:rPr>
                <w:sz w:val="20"/>
                <w:szCs w:val="20"/>
              </w:rPr>
              <w:t> </w:t>
            </w:r>
            <w:r>
              <w:rPr>
                <w:sz w:val="20"/>
                <w:szCs w:val="20"/>
              </w:rPr>
              <w:t>2.</w:t>
            </w:r>
            <w:r w:rsidR="001C7611">
              <w:rPr>
                <w:sz w:val="20"/>
                <w:szCs w:val="20"/>
              </w:rPr>
              <w:t>5</w:t>
            </w:r>
            <w:r>
              <w:rPr>
                <w:sz w:val="20"/>
                <w:szCs w:val="20"/>
              </w:rPr>
              <w:t>.2 have been expanded and a reference to the resulting total incorporated into the text.</w:t>
            </w:r>
          </w:p>
          <w:p w14:paraId="1FD94D1A" w14:textId="259895AA" w:rsidR="009A070B" w:rsidRPr="00B40E50" w:rsidRDefault="009A070B" w:rsidP="009A070B">
            <w:pPr>
              <w:pStyle w:val="BodyText"/>
              <w:numPr>
                <w:ilvl w:val="0"/>
                <w:numId w:val="31"/>
              </w:numPr>
              <w:spacing w:line="240" w:lineRule="auto"/>
              <w:ind w:left="360"/>
              <w:jc w:val="left"/>
              <w:rPr>
                <w:sz w:val="20"/>
                <w:szCs w:val="20"/>
              </w:rPr>
            </w:pPr>
            <w:r>
              <w:rPr>
                <w:sz w:val="20"/>
                <w:szCs w:val="20"/>
              </w:rPr>
              <w:t>A column with variance percentages has been added to Table 2.</w:t>
            </w:r>
            <w:r w:rsidR="001C7611">
              <w:rPr>
                <w:sz w:val="20"/>
                <w:szCs w:val="20"/>
              </w:rPr>
              <w:t>4</w:t>
            </w:r>
            <w:r>
              <w:rPr>
                <w:sz w:val="20"/>
                <w:szCs w:val="20"/>
              </w:rPr>
              <w:t>.1-1. The additional resolution on variance categories is provided by way of the detailed reconciliation in Appendix 2A.</w:t>
            </w:r>
          </w:p>
        </w:tc>
      </w:tr>
      <w:tr w:rsidR="00156630" w:rsidRPr="00B40E50" w14:paraId="69E44493" w14:textId="77777777" w:rsidTr="008F2659">
        <w:trPr>
          <w:cantSplit/>
        </w:trPr>
        <w:tc>
          <w:tcPr>
            <w:tcW w:w="2430" w:type="dxa"/>
          </w:tcPr>
          <w:p w14:paraId="4BECDD7F" w14:textId="77777777" w:rsidR="00156630" w:rsidRPr="002C7BD9" w:rsidRDefault="00156630" w:rsidP="00156630">
            <w:pPr>
              <w:pStyle w:val="BodyText"/>
              <w:spacing w:line="240" w:lineRule="auto"/>
              <w:jc w:val="left"/>
              <w:rPr>
                <w:b/>
                <w:bCs/>
                <w:sz w:val="20"/>
                <w:szCs w:val="20"/>
              </w:rPr>
            </w:pPr>
            <w:r w:rsidRPr="002C7BD9">
              <w:rPr>
                <w:b/>
                <w:bCs/>
                <w:sz w:val="20"/>
                <w:szCs w:val="20"/>
              </w:rPr>
              <w:t>ldpoloni</w:t>
            </w:r>
            <w:r>
              <w:rPr>
                <w:b/>
                <w:bCs/>
                <w:sz w:val="20"/>
                <w:szCs w:val="20"/>
              </w:rPr>
              <w:t>, page 9</w:t>
            </w:r>
          </w:p>
          <w:p w14:paraId="58FA371D" w14:textId="77777777" w:rsidR="00156630" w:rsidRPr="002C7BD9" w:rsidRDefault="00D541BD" w:rsidP="00D541BD">
            <w:pPr>
              <w:pStyle w:val="BodyText"/>
              <w:spacing w:line="240" w:lineRule="auto"/>
              <w:jc w:val="left"/>
              <w:rPr>
                <w:b/>
                <w:bCs/>
                <w:sz w:val="20"/>
                <w:szCs w:val="20"/>
              </w:rPr>
            </w:pPr>
            <w:r>
              <w:rPr>
                <w:b/>
                <w:bCs/>
                <w:sz w:val="20"/>
                <w:szCs w:val="20"/>
              </w:rPr>
              <w:t>10</w:t>
            </w:r>
            <w:r w:rsidR="00156630">
              <w:rPr>
                <w:b/>
                <w:bCs/>
                <w:sz w:val="20"/>
                <w:szCs w:val="20"/>
              </w:rPr>
              <w:t>/11</w:t>
            </w:r>
            <w:r w:rsidR="00156630" w:rsidRPr="002C7BD9">
              <w:rPr>
                <w:b/>
                <w:bCs/>
                <w:sz w:val="20"/>
                <w:szCs w:val="20"/>
              </w:rPr>
              <w:t xml:space="preserve">/2014 </w:t>
            </w:r>
            <w:r w:rsidR="00C53CDE">
              <w:rPr>
                <w:b/>
                <w:bCs/>
                <w:sz w:val="20"/>
                <w:szCs w:val="20"/>
              </w:rPr>
              <w:t>3</w:t>
            </w:r>
            <w:r w:rsidR="00156630">
              <w:rPr>
                <w:b/>
                <w:bCs/>
                <w:sz w:val="20"/>
                <w:szCs w:val="20"/>
              </w:rPr>
              <w:t>:</w:t>
            </w:r>
            <w:r>
              <w:rPr>
                <w:b/>
                <w:bCs/>
                <w:sz w:val="20"/>
                <w:szCs w:val="20"/>
              </w:rPr>
              <w:t>38</w:t>
            </w:r>
            <w:r w:rsidR="00156630">
              <w:rPr>
                <w:b/>
                <w:bCs/>
                <w:sz w:val="20"/>
                <w:szCs w:val="20"/>
              </w:rPr>
              <w:t>:3</w:t>
            </w:r>
            <w:r>
              <w:rPr>
                <w:b/>
                <w:bCs/>
                <w:sz w:val="20"/>
                <w:szCs w:val="20"/>
              </w:rPr>
              <w:t>2</w:t>
            </w:r>
            <w:r w:rsidR="00156630">
              <w:rPr>
                <w:b/>
                <w:bCs/>
                <w:sz w:val="20"/>
                <w:szCs w:val="20"/>
              </w:rPr>
              <w:t xml:space="preserve"> PM</w:t>
            </w:r>
          </w:p>
        </w:tc>
        <w:tc>
          <w:tcPr>
            <w:tcW w:w="5310" w:type="dxa"/>
          </w:tcPr>
          <w:p w14:paraId="1221358B" w14:textId="77777777" w:rsidR="00156630" w:rsidRPr="00156630" w:rsidRDefault="00156630" w:rsidP="00156630">
            <w:pPr>
              <w:pStyle w:val="BodyText"/>
              <w:spacing w:line="240" w:lineRule="auto"/>
              <w:jc w:val="left"/>
              <w:rPr>
                <w:sz w:val="20"/>
                <w:szCs w:val="20"/>
              </w:rPr>
            </w:pPr>
            <w:r w:rsidRPr="00156630">
              <w:rPr>
                <w:sz w:val="20"/>
                <w:szCs w:val="20"/>
              </w:rPr>
              <w:t>(AAM)</w:t>
            </w:r>
          </w:p>
          <w:p w14:paraId="1F0FDF74" w14:textId="77777777" w:rsidR="00156630" w:rsidRPr="00B40E50" w:rsidRDefault="00156630" w:rsidP="00156630">
            <w:pPr>
              <w:pStyle w:val="BodyText"/>
              <w:numPr>
                <w:ilvl w:val="0"/>
                <w:numId w:val="31"/>
              </w:numPr>
              <w:spacing w:line="240" w:lineRule="auto"/>
              <w:ind w:left="360"/>
              <w:jc w:val="left"/>
              <w:rPr>
                <w:sz w:val="20"/>
                <w:szCs w:val="20"/>
              </w:rPr>
            </w:pPr>
            <w:r w:rsidRPr="00156630">
              <w:rPr>
                <w:sz w:val="20"/>
                <w:szCs w:val="20"/>
              </w:rPr>
              <w:t>Is this accounted for twice (i.e.</w:t>
            </w:r>
            <w:r>
              <w:rPr>
                <w:sz w:val="20"/>
                <w:szCs w:val="20"/>
              </w:rPr>
              <w:t>,</w:t>
            </w:r>
            <w:r w:rsidRPr="00156630">
              <w:rPr>
                <w:sz w:val="20"/>
                <w:szCs w:val="20"/>
              </w:rPr>
              <w:t xml:space="preserve"> tailing relocation to open pit)? Is one item to only bring tailings to op</w:t>
            </w:r>
            <w:r>
              <w:rPr>
                <w:sz w:val="20"/>
                <w:szCs w:val="20"/>
              </w:rPr>
              <w:t>en pit and one for tailings mix? I</w:t>
            </w:r>
            <w:r w:rsidRPr="00156630">
              <w:rPr>
                <w:sz w:val="20"/>
                <w:szCs w:val="20"/>
              </w:rPr>
              <w:t xml:space="preserve"> thought all tailings will be mix, clarification in the report would be useful or a footnote at the bottom of the table.</w:t>
            </w:r>
          </w:p>
        </w:tc>
        <w:tc>
          <w:tcPr>
            <w:tcW w:w="5310" w:type="dxa"/>
          </w:tcPr>
          <w:p w14:paraId="3EFC2355" w14:textId="77777777" w:rsidR="00156630" w:rsidRPr="00B40E50" w:rsidRDefault="009A070B" w:rsidP="00150E16">
            <w:pPr>
              <w:pStyle w:val="BodyText"/>
              <w:numPr>
                <w:ilvl w:val="0"/>
                <w:numId w:val="31"/>
              </w:numPr>
              <w:spacing w:line="240" w:lineRule="auto"/>
              <w:ind w:left="360"/>
              <w:jc w:val="left"/>
              <w:rPr>
                <w:sz w:val="20"/>
                <w:szCs w:val="20"/>
              </w:rPr>
            </w:pPr>
            <w:r>
              <w:rPr>
                <w:sz w:val="20"/>
                <w:szCs w:val="20"/>
              </w:rPr>
              <w:t xml:space="preserve">A footnote has been added to the table to explain that there has been no double counting for the movement of tailings. The line items were separated this way to facilitate a more meaningful comparison between the AECOM and AMEC figures for tailings relocation, even though the AMEC method involved mixing with rock and the AECOM </w:t>
            </w:r>
            <w:r w:rsidR="00150E16">
              <w:rPr>
                <w:sz w:val="20"/>
                <w:szCs w:val="20"/>
              </w:rPr>
              <w:t>method</w:t>
            </w:r>
            <w:r>
              <w:rPr>
                <w:sz w:val="20"/>
                <w:szCs w:val="20"/>
              </w:rPr>
              <w:t xml:space="preserve"> did not. The AMEC estimate developed a total blended cost for the movement of tailings and rock to the pit, and then partitioned this total between rock and tailings to facilitate the desired comparison.</w:t>
            </w:r>
          </w:p>
        </w:tc>
      </w:tr>
      <w:tr w:rsidR="00F84418" w:rsidRPr="00B40E50" w14:paraId="214BA4B7" w14:textId="77777777" w:rsidTr="008F2659">
        <w:trPr>
          <w:cantSplit/>
        </w:trPr>
        <w:tc>
          <w:tcPr>
            <w:tcW w:w="2430" w:type="dxa"/>
            <w:vMerge w:val="restart"/>
          </w:tcPr>
          <w:p w14:paraId="7527AD4A" w14:textId="77777777" w:rsidR="00F84418" w:rsidRPr="002C7BD9" w:rsidRDefault="00F84418" w:rsidP="009A070B">
            <w:pPr>
              <w:pStyle w:val="BodyText"/>
              <w:spacing w:line="240" w:lineRule="auto"/>
              <w:jc w:val="left"/>
              <w:rPr>
                <w:b/>
                <w:bCs/>
                <w:sz w:val="20"/>
                <w:szCs w:val="20"/>
              </w:rPr>
            </w:pPr>
            <w:r w:rsidRPr="002C7BD9">
              <w:rPr>
                <w:b/>
                <w:bCs/>
                <w:sz w:val="20"/>
                <w:szCs w:val="20"/>
              </w:rPr>
              <w:t>ldpoloni</w:t>
            </w:r>
            <w:r>
              <w:rPr>
                <w:b/>
                <w:bCs/>
                <w:sz w:val="20"/>
                <w:szCs w:val="20"/>
              </w:rPr>
              <w:t>, page 10</w:t>
            </w:r>
          </w:p>
          <w:p w14:paraId="0E2FF3AF" w14:textId="77777777" w:rsidR="00F84418" w:rsidRPr="002C7BD9" w:rsidRDefault="00F84418" w:rsidP="009A070B">
            <w:pPr>
              <w:pStyle w:val="BodyText"/>
              <w:spacing w:line="240" w:lineRule="auto"/>
              <w:jc w:val="left"/>
              <w:rPr>
                <w:b/>
                <w:bCs/>
                <w:sz w:val="20"/>
                <w:szCs w:val="20"/>
              </w:rPr>
            </w:pPr>
            <w:r>
              <w:rPr>
                <w:b/>
                <w:bCs/>
                <w:sz w:val="20"/>
                <w:szCs w:val="20"/>
              </w:rPr>
              <w:t>10/11</w:t>
            </w:r>
            <w:r w:rsidRPr="002C7BD9">
              <w:rPr>
                <w:b/>
                <w:bCs/>
                <w:sz w:val="20"/>
                <w:szCs w:val="20"/>
              </w:rPr>
              <w:t xml:space="preserve">/2014 </w:t>
            </w:r>
            <w:r>
              <w:rPr>
                <w:b/>
                <w:bCs/>
                <w:sz w:val="20"/>
                <w:szCs w:val="20"/>
              </w:rPr>
              <w:t>3:52:20 PM</w:t>
            </w:r>
          </w:p>
        </w:tc>
        <w:tc>
          <w:tcPr>
            <w:tcW w:w="5310" w:type="dxa"/>
          </w:tcPr>
          <w:p w14:paraId="60A44788" w14:textId="77777777" w:rsidR="00F84418" w:rsidRPr="001C7B4B" w:rsidRDefault="00F84418" w:rsidP="009A070B">
            <w:pPr>
              <w:pStyle w:val="BodyText"/>
              <w:spacing w:line="240" w:lineRule="auto"/>
              <w:jc w:val="left"/>
              <w:rPr>
                <w:sz w:val="20"/>
                <w:szCs w:val="20"/>
              </w:rPr>
            </w:pPr>
            <w:r w:rsidRPr="001C7B4B">
              <w:rPr>
                <w:sz w:val="20"/>
                <w:szCs w:val="20"/>
              </w:rPr>
              <w:t>(AAM)</w:t>
            </w:r>
          </w:p>
          <w:p w14:paraId="195906C6" w14:textId="77777777" w:rsidR="00F84418" w:rsidRPr="001C7B4B" w:rsidRDefault="00F84418" w:rsidP="009A070B">
            <w:pPr>
              <w:pStyle w:val="BodyText"/>
              <w:numPr>
                <w:ilvl w:val="0"/>
                <w:numId w:val="31"/>
              </w:numPr>
              <w:spacing w:line="240" w:lineRule="auto"/>
              <w:ind w:left="360"/>
              <w:jc w:val="left"/>
              <w:rPr>
                <w:sz w:val="20"/>
                <w:szCs w:val="20"/>
              </w:rPr>
            </w:pPr>
            <w:r w:rsidRPr="001C7B4B">
              <w:rPr>
                <w:sz w:val="20"/>
                <w:szCs w:val="20"/>
              </w:rPr>
              <w:t>Why is this table not filled out and completed?</w:t>
            </w:r>
          </w:p>
          <w:p w14:paraId="3FD6C8D2" w14:textId="77777777" w:rsidR="00F84418" w:rsidRDefault="00F84418" w:rsidP="009A070B">
            <w:pPr>
              <w:pStyle w:val="BodyText"/>
              <w:numPr>
                <w:ilvl w:val="0"/>
                <w:numId w:val="31"/>
              </w:numPr>
              <w:spacing w:line="240" w:lineRule="auto"/>
              <w:ind w:left="360"/>
              <w:jc w:val="left"/>
              <w:rPr>
                <w:sz w:val="20"/>
                <w:szCs w:val="20"/>
              </w:rPr>
            </w:pPr>
            <w:r>
              <w:rPr>
                <w:sz w:val="20"/>
                <w:szCs w:val="20"/>
              </w:rPr>
              <w:t>W</w:t>
            </w:r>
            <w:r w:rsidRPr="001C7B4B">
              <w:rPr>
                <w:sz w:val="20"/>
                <w:szCs w:val="20"/>
              </w:rPr>
              <w:t>hat do you mean by Victoria Ck sand?</w:t>
            </w:r>
          </w:p>
          <w:p w14:paraId="2DE2F496" w14:textId="77777777" w:rsidR="00F84418" w:rsidRDefault="00F84418" w:rsidP="001C7611">
            <w:pPr>
              <w:pStyle w:val="BodyText"/>
              <w:spacing w:line="240" w:lineRule="auto"/>
              <w:jc w:val="left"/>
              <w:rPr>
                <w:sz w:val="20"/>
                <w:szCs w:val="20"/>
              </w:rPr>
            </w:pPr>
          </w:p>
          <w:p w14:paraId="76CDDF3A" w14:textId="77777777" w:rsidR="00F84418" w:rsidRDefault="00F84418" w:rsidP="001C7611">
            <w:pPr>
              <w:pStyle w:val="BodyText"/>
              <w:spacing w:line="240" w:lineRule="auto"/>
              <w:jc w:val="left"/>
              <w:rPr>
                <w:sz w:val="20"/>
                <w:szCs w:val="20"/>
              </w:rPr>
            </w:pPr>
          </w:p>
          <w:p w14:paraId="73EA0755" w14:textId="77777777" w:rsidR="005C0BE1" w:rsidRDefault="005C0BE1" w:rsidP="001C7611">
            <w:pPr>
              <w:pStyle w:val="BodyText"/>
              <w:spacing w:line="240" w:lineRule="auto"/>
              <w:jc w:val="left"/>
              <w:rPr>
                <w:sz w:val="20"/>
                <w:szCs w:val="20"/>
              </w:rPr>
            </w:pPr>
          </w:p>
          <w:p w14:paraId="7428471B" w14:textId="77777777" w:rsidR="005C0BE1" w:rsidRDefault="005C0BE1" w:rsidP="001C7611">
            <w:pPr>
              <w:pStyle w:val="BodyText"/>
              <w:spacing w:line="240" w:lineRule="auto"/>
              <w:jc w:val="left"/>
              <w:rPr>
                <w:sz w:val="20"/>
                <w:szCs w:val="20"/>
              </w:rPr>
            </w:pPr>
          </w:p>
          <w:p w14:paraId="483CC122" w14:textId="77777777" w:rsidR="005C0BE1" w:rsidRDefault="005C0BE1" w:rsidP="001C7611">
            <w:pPr>
              <w:pStyle w:val="BodyText"/>
              <w:spacing w:line="240" w:lineRule="auto"/>
              <w:jc w:val="left"/>
              <w:rPr>
                <w:sz w:val="20"/>
                <w:szCs w:val="20"/>
              </w:rPr>
            </w:pPr>
          </w:p>
          <w:p w14:paraId="52F9B1E0" w14:textId="77777777" w:rsidR="00F84418" w:rsidRDefault="00F84418" w:rsidP="001C7611">
            <w:pPr>
              <w:pStyle w:val="BodyText"/>
              <w:spacing w:line="240" w:lineRule="auto"/>
              <w:jc w:val="left"/>
              <w:rPr>
                <w:sz w:val="20"/>
                <w:szCs w:val="20"/>
              </w:rPr>
            </w:pPr>
            <w:r>
              <w:rPr>
                <w:sz w:val="20"/>
                <w:szCs w:val="20"/>
                <w:u w:val="single"/>
              </w:rPr>
              <w:t>AAM Follow-up on 21 November Response</w:t>
            </w:r>
          </w:p>
          <w:p w14:paraId="5029B750" w14:textId="77777777" w:rsidR="00F84418" w:rsidRDefault="00F84418" w:rsidP="001C7611">
            <w:pPr>
              <w:pStyle w:val="BodyText"/>
              <w:spacing w:line="240" w:lineRule="auto"/>
              <w:jc w:val="left"/>
              <w:rPr>
                <w:sz w:val="20"/>
                <w:szCs w:val="20"/>
              </w:rPr>
            </w:pPr>
          </w:p>
          <w:p w14:paraId="07658FA8" w14:textId="17A0B406" w:rsidR="00F84418" w:rsidRPr="00156630" w:rsidRDefault="00F84418" w:rsidP="001C7611">
            <w:pPr>
              <w:pStyle w:val="BodyText"/>
              <w:spacing w:line="240" w:lineRule="auto"/>
              <w:jc w:val="left"/>
              <w:rPr>
                <w:sz w:val="20"/>
                <w:szCs w:val="20"/>
              </w:rPr>
            </w:pPr>
            <w:r>
              <w:rPr>
                <w:sz w:val="20"/>
                <w:szCs w:val="20"/>
              </w:rPr>
              <w:t>The reference to Victoria C</w:t>
            </w:r>
            <w:r w:rsidRPr="001C7611">
              <w:rPr>
                <w:sz w:val="20"/>
                <w:szCs w:val="20"/>
              </w:rPr>
              <w:t>reek sand is still throughout the document and in the cost table sheet. Can you please remove and reissue the report?</w:t>
            </w:r>
          </w:p>
        </w:tc>
        <w:tc>
          <w:tcPr>
            <w:tcW w:w="5310" w:type="dxa"/>
          </w:tcPr>
          <w:p w14:paraId="5E44DC92" w14:textId="77777777" w:rsidR="00F84418" w:rsidRDefault="00F84418" w:rsidP="009A070B">
            <w:pPr>
              <w:pStyle w:val="BodyText"/>
              <w:numPr>
                <w:ilvl w:val="0"/>
                <w:numId w:val="31"/>
              </w:numPr>
              <w:spacing w:line="240" w:lineRule="auto"/>
              <w:ind w:left="360"/>
              <w:jc w:val="left"/>
              <w:rPr>
                <w:sz w:val="20"/>
                <w:szCs w:val="20"/>
              </w:rPr>
            </w:pPr>
            <w:r>
              <w:rPr>
                <w:sz w:val="20"/>
                <w:szCs w:val="20"/>
              </w:rPr>
              <w:t>In retrospect, we have concluded that the three columns in the original table are more appropriately addressed with a single comments column. The table has been revised accordingly and additional content provided in the new comments column.</w:t>
            </w:r>
          </w:p>
          <w:p w14:paraId="38F284FF" w14:textId="77777777" w:rsidR="00F84418" w:rsidRDefault="00F84418" w:rsidP="009A070B">
            <w:pPr>
              <w:pStyle w:val="BodyText"/>
              <w:numPr>
                <w:ilvl w:val="0"/>
                <w:numId w:val="31"/>
              </w:numPr>
              <w:spacing w:line="240" w:lineRule="auto"/>
              <w:ind w:left="360"/>
              <w:jc w:val="left"/>
              <w:rPr>
                <w:sz w:val="20"/>
                <w:szCs w:val="20"/>
              </w:rPr>
            </w:pPr>
            <w:r>
              <w:rPr>
                <w:sz w:val="20"/>
                <w:szCs w:val="20"/>
              </w:rPr>
              <w:t>The Victoria Creek sand reference is no longer relevant and has been deleted.</w:t>
            </w:r>
          </w:p>
          <w:p w14:paraId="4D45E0E0" w14:textId="77777777" w:rsidR="00F84418" w:rsidRDefault="00F84418" w:rsidP="001C7611">
            <w:pPr>
              <w:pStyle w:val="BodyText"/>
              <w:spacing w:line="240" w:lineRule="auto"/>
              <w:jc w:val="left"/>
              <w:rPr>
                <w:sz w:val="20"/>
                <w:szCs w:val="20"/>
              </w:rPr>
            </w:pPr>
          </w:p>
          <w:p w14:paraId="0CD0BEA1" w14:textId="77777777" w:rsidR="00F84418" w:rsidRPr="001C7611" w:rsidRDefault="00F84418" w:rsidP="001C7611">
            <w:pPr>
              <w:pStyle w:val="BodyText"/>
              <w:spacing w:line="240" w:lineRule="auto"/>
              <w:jc w:val="left"/>
              <w:rPr>
                <w:sz w:val="20"/>
                <w:szCs w:val="20"/>
                <w:u w:val="single"/>
              </w:rPr>
            </w:pPr>
            <w:r>
              <w:rPr>
                <w:sz w:val="20"/>
                <w:szCs w:val="20"/>
                <w:u w:val="single"/>
              </w:rPr>
              <w:t>Response to Follow-up</w:t>
            </w:r>
          </w:p>
          <w:p w14:paraId="3F2DE461" w14:textId="77777777" w:rsidR="00F84418" w:rsidRDefault="00F84418" w:rsidP="001C7611">
            <w:pPr>
              <w:pStyle w:val="BodyText"/>
              <w:spacing w:line="240" w:lineRule="auto"/>
              <w:jc w:val="left"/>
              <w:rPr>
                <w:sz w:val="20"/>
                <w:szCs w:val="20"/>
              </w:rPr>
            </w:pPr>
          </w:p>
          <w:p w14:paraId="12CEC441" w14:textId="232A92A5" w:rsidR="00F84418" w:rsidRDefault="00F84418" w:rsidP="001C7611">
            <w:pPr>
              <w:pStyle w:val="BodyText"/>
              <w:spacing w:line="240" w:lineRule="auto"/>
              <w:jc w:val="left"/>
              <w:rPr>
                <w:sz w:val="20"/>
                <w:szCs w:val="20"/>
              </w:rPr>
            </w:pPr>
            <w:r>
              <w:rPr>
                <w:sz w:val="20"/>
                <w:szCs w:val="20"/>
              </w:rPr>
              <w:t>References to Victoria Creek sand have been removed.</w:t>
            </w:r>
          </w:p>
        </w:tc>
      </w:tr>
      <w:tr w:rsidR="00F84418" w:rsidRPr="00B40E50" w14:paraId="304B508D" w14:textId="77777777" w:rsidTr="008F2659">
        <w:trPr>
          <w:cantSplit/>
        </w:trPr>
        <w:tc>
          <w:tcPr>
            <w:tcW w:w="2430" w:type="dxa"/>
            <w:vMerge/>
          </w:tcPr>
          <w:p w14:paraId="6DFAD5AC" w14:textId="77777777" w:rsidR="00F84418" w:rsidRPr="002C7BD9" w:rsidRDefault="00F84418" w:rsidP="00D541BD">
            <w:pPr>
              <w:pStyle w:val="BodyText"/>
              <w:spacing w:line="240" w:lineRule="auto"/>
              <w:jc w:val="left"/>
              <w:rPr>
                <w:b/>
                <w:bCs/>
                <w:sz w:val="20"/>
                <w:szCs w:val="20"/>
              </w:rPr>
            </w:pPr>
          </w:p>
        </w:tc>
        <w:tc>
          <w:tcPr>
            <w:tcW w:w="5310" w:type="dxa"/>
          </w:tcPr>
          <w:p w14:paraId="4AE4157B" w14:textId="77777777" w:rsidR="00F84418" w:rsidRPr="001C7B4B" w:rsidRDefault="00F84418" w:rsidP="001C7B4B">
            <w:pPr>
              <w:pStyle w:val="BodyText"/>
              <w:spacing w:line="240" w:lineRule="auto"/>
              <w:jc w:val="left"/>
              <w:rPr>
                <w:sz w:val="20"/>
                <w:szCs w:val="20"/>
              </w:rPr>
            </w:pPr>
            <w:r w:rsidRPr="001C7B4B">
              <w:rPr>
                <w:sz w:val="20"/>
                <w:szCs w:val="20"/>
              </w:rPr>
              <w:t>(AANDC)</w:t>
            </w:r>
          </w:p>
          <w:p w14:paraId="2B18DC0A" w14:textId="77777777" w:rsidR="00F84418" w:rsidRPr="001C7B4B" w:rsidRDefault="00F84418" w:rsidP="001C7B4B">
            <w:pPr>
              <w:pStyle w:val="BodyText"/>
              <w:numPr>
                <w:ilvl w:val="0"/>
                <w:numId w:val="31"/>
              </w:numPr>
              <w:spacing w:line="240" w:lineRule="auto"/>
              <w:ind w:left="360"/>
              <w:jc w:val="left"/>
              <w:rPr>
                <w:sz w:val="20"/>
                <w:szCs w:val="20"/>
              </w:rPr>
            </w:pPr>
            <w:r w:rsidRPr="001C7B4B">
              <w:rPr>
                <w:sz w:val="20"/>
                <w:szCs w:val="20"/>
              </w:rPr>
              <w:t xml:space="preserve">When you add up all the Waste Rock in the AMEC quantities you get 654,452 cubic </w:t>
            </w:r>
            <w:proofErr w:type="gramStart"/>
            <w:r w:rsidRPr="001C7B4B">
              <w:rPr>
                <w:sz w:val="20"/>
                <w:szCs w:val="20"/>
              </w:rPr>
              <w:t>metres ....</w:t>
            </w:r>
            <w:proofErr w:type="gramEnd"/>
            <w:r w:rsidRPr="001C7B4B">
              <w:rPr>
                <w:sz w:val="20"/>
                <w:szCs w:val="20"/>
              </w:rPr>
              <w:t xml:space="preserve"> </w:t>
            </w:r>
            <w:proofErr w:type="gramStart"/>
            <w:r w:rsidRPr="001C7B4B">
              <w:rPr>
                <w:sz w:val="20"/>
                <w:szCs w:val="20"/>
              </w:rPr>
              <w:t>however</w:t>
            </w:r>
            <w:proofErr w:type="gramEnd"/>
            <w:r w:rsidRPr="001C7B4B">
              <w:rPr>
                <w:sz w:val="20"/>
                <w:szCs w:val="20"/>
              </w:rPr>
              <w:t xml:space="preserve"> in the Site Characterization Report it says there is only 597,700 cm - is the other 55,000 cm from the mill area? How is the differentiation made between “contaminated soil” and waste rock?</w:t>
            </w:r>
          </w:p>
          <w:p w14:paraId="73BE22A1" w14:textId="77777777" w:rsidR="00F84418" w:rsidRPr="00B40E50" w:rsidRDefault="00F84418" w:rsidP="001C7B4B">
            <w:pPr>
              <w:pStyle w:val="BodyText"/>
              <w:numPr>
                <w:ilvl w:val="0"/>
                <w:numId w:val="31"/>
              </w:numPr>
              <w:spacing w:line="240" w:lineRule="auto"/>
              <w:ind w:left="360"/>
              <w:jc w:val="left"/>
              <w:rPr>
                <w:sz w:val="20"/>
                <w:szCs w:val="20"/>
              </w:rPr>
            </w:pPr>
            <w:r w:rsidRPr="001C7B4B">
              <w:rPr>
                <w:sz w:val="20"/>
                <w:szCs w:val="20"/>
              </w:rPr>
              <w:t>How does these quantity differences relate to the cost variance in the end?</w:t>
            </w:r>
          </w:p>
        </w:tc>
        <w:tc>
          <w:tcPr>
            <w:tcW w:w="5310" w:type="dxa"/>
          </w:tcPr>
          <w:p w14:paraId="604360C4" w14:textId="77777777" w:rsidR="00F84418" w:rsidRDefault="00F84418" w:rsidP="00441267">
            <w:pPr>
              <w:pStyle w:val="BodyText"/>
              <w:numPr>
                <w:ilvl w:val="0"/>
                <w:numId w:val="31"/>
              </w:numPr>
              <w:spacing w:line="240" w:lineRule="auto"/>
              <w:ind w:left="360"/>
              <w:jc w:val="left"/>
              <w:rPr>
                <w:sz w:val="20"/>
                <w:szCs w:val="20"/>
              </w:rPr>
            </w:pPr>
            <w:r>
              <w:rPr>
                <w:sz w:val="20"/>
                <w:szCs w:val="20"/>
              </w:rPr>
              <w:t>The 597,700 m</w:t>
            </w:r>
            <w:r>
              <w:rPr>
                <w:sz w:val="20"/>
                <w:szCs w:val="20"/>
                <w:vertAlign w:val="superscript"/>
              </w:rPr>
              <w:t>3</w:t>
            </w:r>
            <w:r>
              <w:rPr>
                <w:sz w:val="20"/>
                <w:szCs w:val="20"/>
              </w:rPr>
              <w:t xml:space="preserve"> figure (Table 46 of the Site Characterization Report) is the total volume in the defined waste rock stockpiles. The 654,000 m</w:t>
            </w:r>
            <w:r>
              <w:rPr>
                <w:sz w:val="20"/>
                <w:szCs w:val="20"/>
                <w:vertAlign w:val="superscript"/>
              </w:rPr>
              <w:t>3</w:t>
            </w:r>
            <w:r>
              <w:rPr>
                <w:sz w:val="20"/>
                <w:szCs w:val="20"/>
              </w:rPr>
              <w:t xml:space="preserve"> figure (Table 4.14 in the Design Report) includes additional volumes from the mill and shop areas and various site roads.</w:t>
            </w:r>
          </w:p>
          <w:p w14:paraId="13E416CC" w14:textId="7F29C3C2" w:rsidR="00F84418" w:rsidRPr="00B40E50" w:rsidRDefault="00F84418" w:rsidP="00441267">
            <w:pPr>
              <w:pStyle w:val="BodyText"/>
              <w:numPr>
                <w:ilvl w:val="0"/>
                <w:numId w:val="31"/>
              </w:numPr>
              <w:spacing w:line="240" w:lineRule="auto"/>
              <w:ind w:left="360"/>
              <w:jc w:val="left"/>
              <w:rPr>
                <w:sz w:val="20"/>
                <w:szCs w:val="20"/>
              </w:rPr>
            </w:pPr>
            <w:r>
              <w:rPr>
                <w:sz w:val="20"/>
                <w:szCs w:val="20"/>
              </w:rPr>
              <w:t>The differentiation between contaminated soils and rocks was approximate and was based on available borehole and/or test pit characterizations. All of these quantities contribute to the volumes addressed in the cost reconciliation portions of the review report (specifically Table 2.4.2-1 and Appendix 2B).</w:t>
            </w:r>
          </w:p>
        </w:tc>
      </w:tr>
      <w:tr w:rsidR="00D541BD" w:rsidRPr="00B40E50" w14:paraId="5C0A5C9D" w14:textId="77777777" w:rsidTr="008F2659">
        <w:trPr>
          <w:cantSplit/>
        </w:trPr>
        <w:tc>
          <w:tcPr>
            <w:tcW w:w="2430" w:type="dxa"/>
          </w:tcPr>
          <w:p w14:paraId="545DECCA" w14:textId="77777777" w:rsidR="00D541BD" w:rsidRPr="002C7BD9" w:rsidRDefault="00D541BD" w:rsidP="00D541BD">
            <w:pPr>
              <w:pStyle w:val="BodyText"/>
              <w:spacing w:line="240" w:lineRule="auto"/>
              <w:jc w:val="left"/>
              <w:rPr>
                <w:b/>
                <w:bCs/>
                <w:sz w:val="20"/>
                <w:szCs w:val="20"/>
              </w:rPr>
            </w:pPr>
            <w:r w:rsidRPr="002C7BD9">
              <w:rPr>
                <w:b/>
                <w:bCs/>
                <w:sz w:val="20"/>
                <w:szCs w:val="20"/>
              </w:rPr>
              <w:t>ldpoloni</w:t>
            </w:r>
            <w:r>
              <w:rPr>
                <w:b/>
                <w:bCs/>
                <w:sz w:val="20"/>
                <w:szCs w:val="20"/>
              </w:rPr>
              <w:t>, page 11</w:t>
            </w:r>
          </w:p>
          <w:p w14:paraId="3251EABC" w14:textId="77777777" w:rsidR="00D541BD" w:rsidRPr="002C7BD9" w:rsidRDefault="00D541BD" w:rsidP="00D541BD">
            <w:pPr>
              <w:pStyle w:val="BodyText"/>
              <w:spacing w:line="240" w:lineRule="auto"/>
              <w:jc w:val="left"/>
              <w:rPr>
                <w:b/>
                <w:bCs/>
                <w:sz w:val="20"/>
                <w:szCs w:val="20"/>
              </w:rPr>
            </w:pPr>
            <w:r>
              <w:rPr>
                <w:b/>
                <w:bCs/>
                <w:sz w:val="20"/>
                <w:szCs w:val="20"/>
              </w:rPr>
              <w:t>07/11</w:t>
            </w:r>
            <w:r w:rsidRPr="002C7BD9">
              <w:rPr>
                <w:b/>
                <w:bCs/>
                <w:sz w:val="20"/>
                <w:szCs w:val="20"/>
              </w:rPr>
              <w:t xml:space="preserve">/2014 </w:t>
            </w:r>
            <w:r>
              <w:rPr>
                <w:b/>
                <w:bCs/>
                <w:sz w:val="20"/>
                <w:szCs w:val="20"/>
              </w:rPr>
              <w:t>12:29:47 PM</w:t>
            </w:r>
          </w:p>
        </w:tc>
        <w:tc>
          <w:tcPr>
            <w:tcW w:w="5310" w:type="dxa"/>
          </w:tcPr>
          <w:p w14:paraId="0BA6F09D" w14:textId="77777777" w:rsidR="00D541BD" w:rsidRPr="00D541BD" w:rsidRDefault="00D541BD" w:rsidP="00D541BD">
            <w:pPr>
              <w:pStyle w:val="BodyText"/>
              <w:spacing w:line="240" w:lineRule="auto"/>
              <w:jc w:val="left"/>
              <w:rPr>
                <w:sz w:val="20"/>
                <w:szCs w:val="20"/>
              </w:rPr>
            </w:pPr>
            <w:r w:rsidRPr="00D541BD">
              <w:rPr>
                <w:sz w:val="20"/>
                <w:szCs w:val="20"/>
              </w:rPr>
              <w:t>(AANDC)</w:t>
            </w:r>
          </w:p>
          <w:p w14:paraId="1E6960FF" w14:textId="77777777" w:rsidR="00D541BD" w:rsidRPr="00B40E50" w:rsidRDefault="00D541BD" w:rsidP="00D541BD">
            <w:pPr>
              <w:pStyle w:val="BodyText"/>
              <w:numPr>
                <w:ilvl w:val="0"/>
                <w:numId w:val="31"/>
              </w:numPr>
              <w:spacing w:line="240" w:lineRule="auto"/>
              <w:ind w:left="360"/>
              <w:jc w:val="left"/>
              <w:rPr>
                <w:sz w:val="20"/>
                <w:szCs w:val="20"/>
              </w:rPr>
            </w:pPr>
            <w:r w:rsidRPr="00D541BD">
              <w:rPr>
                <w:sz w:val="20"/>
                <w:szCs w:val="20"/>
              </w:rPr>
              <w:t>Would it be beneficial in the explanation to either bury the contingency within each line item or address it right up front and take it out of the discussion later on (out of totals as well?)</w:t>
            </w:r>
          </w:p>
        </w:tc>
        <w:tc>
          <w:tcPr>
            <w:tcW w:w="5310" w:type="dxa"/>
          </w:tcPr>
          <w:p w14:paraId="4BBAE5B0" w14:textId="77777777" w:rsidR="00D541BD" w:rsidRPr="00B40E50" w:rsidRDefault="00441267" w:rsidP="00441267">
            <w:pPr>
              <w:pStyle w:val="BodyText"/>
              <w:numPr>
                <w:ilvl w:val="0"/>
                <w:numId w:val="31"/>
              </w:numPr>
              <w:spacing w:line="240" w:lineRule="auto"/>
              <w:ind w:left="360"/>
              <w:jc w:val="left"/>
              <w:rPr>
                <w:sz w:val="20"/>
                <w:szCs w:val="20"/>
              </w:rPr>
            </w:pPr>
            <w:r>
              <w:rPr>
                <w:sz w:val="20"/>
                <w:szCs w:val="20"/>
              </w:rPr>
              <w:t>The contingencies referenced in this list are design contingencies (i.e., the proposed pit seepage collection systems), not the estimating contingencies. The latter can be incorporated per the estimating policies of the parties; however, the more common practice (reflected in the Phase 1 estimate and cost review formats) is to add contingency as a single line item rather than incorporated into each activity.</w:t>
            </w:r>
          </w:p>
        </w:tc>
      </w:tr>
      <w:tr w:rsidR="00D541BD" w:rsidRPr="00B40E50" w14:paraId="3CF0B287" w14:textId="77777777" w:rsidTr="008F2659">
        <w:trPr>
          <w:cantSplit/>
        </w:trPr>
        <w:tc>
          <w:tcPr>
            <w:tcW w:w="2430" w:type="dxa"/>
          </w:tcPr>
          <w:p w14:paraId="148FDE69" w14:textId="77777777" w:rsidR="00D541BD" w:rsidRPr="002C7BD9" w:rsidRDefault="00D541BD" w:rsidP="00D541BD">
            <w:pPr>
              <w:pStyle w:val="BodyText"/>
              <w:spacing w:line="240" w:lineRule="auto"/>
              <w:jc w:val="left"/>
              <w:rPr>
                <w:b/>
                <w:bCs/>
                <w:sz w:val="20"/>
                <w:szCs w:val="20"/>
              </w:rPr>
            </w:pPr>
            <w:r w:rsidRPr="002C7BD9">
              <w:rPr>
                <w:b/>
                <w:bCs/>
                <w:sz w:val="20"/>
                <w:szCs w:val="20"/>
              </w:rPr>
              <w:t>ldpoloni</w:t>
            </w:r>
            <w:r>
              <w:rPr>
                <w:b/>
                <w:bCs/>
                <w:sz w:val="20"/>
                <w:szCs w:val="20"/>
              </w:rPr>
              <w:t>, page 11</w:t>
            </w:r>
          </w:p>
          <w:p w14:paraId="6E5420C8" w14:textId="77777777" w:rsidR="00D541BD" w:rsidRPr="002C7BD9" w:rsidRDefault="00D541BD" w:rsidP="00D541BD">
            <w:pPr>
              <w:pStyle w:val="BodyText"/>
              <w:spacing w:line="240" w:lineRule="auto"/>
              <w:jc w:val="left"/>
              <w:rPr>
                <w:b/>
                <w:bCs/>
                <w:sz w:val="20"/>
                <w:szCs w:val="20"/>
              </w:rPr>
            </w:pPr>
            <w:r>
              <w:rPr>
                <w:b/>
                <w:bCs/>
                <w:sz w:val="20"/>
                <w:szCs w:val="20"/>
              </w:rPr>
              <w:t>10/11</w:t>
            </w:r>
            <w:r w:rsidRPr="002C7BD9">
              <w:rPr>
                <w:b/>
                <w:bCs/>
                <w:sz w:val="20"/>
                <w:szCs w:val="20"/>
              </w:rPr>
              <w:t xml:space="preserve">/2014 </w:t>
            </w:r>
            <w:r>
              <w:rPr>
                <w:b/>
                <w:bCs/>
                <w:sz w:val="20"/>
                <w:szCs w:val="20"/>
              </w:rPr>
              <w:t>3:56:42 PM</w:t>
            </w:r>
          </w:p>
        </w:tc>
        <w:tc>
          <w:tcPr>
            <w:tcW w:w="5310" w:type="dxa"/>
          </w:tcPr>
          <w:p w14:paraId="2C7A932A" w14:textId="77777777" w:rsidR="00D541BD" w:rsidRPr="00D541BD" w:rsidRDefault="00D541BD" w:rsidP="00D541BD">
            <w:pPr>
              <w:pStyle w:val="BodyText"/>
              <w:spacing w:line="240" w:lineRule="auto"/>
              <w:jc w:val="left"/>
              <w:rPr>
                <w:sz w:val="20"/>
                <w:szCs w:val="20"/>
              </w:rPr>
            </w:pPr>
            <w:r w:rsidRPr="00D541BD">
              <w:rPr>
                <w:sz w:val="20"/>
                <w:szCs w:val="20"/>
              </w:rPr>
              <w:t>(AANDC)</w:t>
            </w:r>
          </w:p>
          <w:p w14:paraId="756C8B7F" w14:textId="77777777" w:rsidR="00D541BD" w:rsidRPr="00B40E50" w:rsidRDefault="00D541BD" w:rsidP="00966193">
            <w:pPr>
              <w:pStyle w:val="BodyText"/>
              <w:numPr>
                <w:ilvl w:val="0"/>
                <w:numId w:val="31"/>
              </w:numPr>
              <w:spacing w:line="240" w:lineRule="auto"/>
              <w:ind w:left="360"/>
              <w:jc w:val="left"/>
              <w:rPr>
                <w:sz w:val="20"/>
                <w:szCs w:val="20"/>
              </w:rPr>
            </w:pPr>
            <w:r w:rsidRPr="00D541BD">
              <w:rPr>
                <w:sz w:val="20"/>
                <w:szCs w:val="20"/>
              </w:rPr>
              <w:t>This is confirmed in AECOM memo to GY dated July</w:t>
            </w:r>
            <w:r w:rsidR="00966193">
              <w:rPr>
                <w:sz w:val="20"/>
                <w:szCs w:val="20"/>
              </w:rPr>
              <w:t> </w:t>
            </w:r>
            <w:r w:rsidRPr="00D541BD">
              <w:rPr>
                <w:sz w:val="20"/>
                <w:szCs w:val="20"/>
              </w:rPr>
              <w:t>4, 2011 &amp; winter construction is assumed.</w:t>
            </w:r>
          </w:p>
        </w:tc>
        <w:tc>
          <w:tcPr>
            <w:tcW w:w="5310" w:type="dxa"/>
          </w:tcPr>
          <w:p w14:paraId="60306DC9" w14:textId="77777777" w:rsidR="00D541BD" w:rsidRPr="00B40E50" w:rsidRDefault="00441267" w:rsidP="00441267">
            <w:pPr>
              <w:pStyle w:val="BodyText"/>
              <w:numPr>
                <w:ilvl w:val="0"/>
                <w:numId w:val="31"/>
              </w:numPr>
              <w:spacing w:line="240" w:lineRule="auto"/>
              <w:ind w:left="360"/>
              <w:jc w:val="left"/>
              <w:rPr>
                <w:sz w:val="20"/>
                <w:szCs w:val="20"/>
              </w:rPr>
            </w:pPr>
            <w:r>
              <w:rPr>
                <w:sz w:val="20"/>
                <w:szCs w:val="20"/>
              </w:rPr>
              <w:t>A note indicating that AECOM assumed winter excavation has been added to the report.</w:t>
            </w:r>
          </w:p>
        </w:tc>
      </w:tr>
      <w:tr w:rsidR="00D541BD" w:rsidRPr="00B40E50" w14:paraId="4FC39A46" w14:textId="77777777" w:rsidTr="008F2659">
        <w:trPr>
          <w:cantSplit/>
        </w:trPr>
        <w:tc>
          <w:tcPr>
            <w:tcW w:w="2430" w:type="dxa"/>
          </w:tcPr>
          <w:p w14:paraId="78FDBE34" w14:textId="77777777" w:rsidR="00D541BD" w:rsidRPr="002C7BD9" w:rsidRDefault="00D541BD" w:rsidP="00D541BD">
            <w:pPr>
              <w:pStyle w:val="BodyText"/>
              <w:spacing w:line="240" w:lineRule="auto"/>
              <w:jc w:val="left"/>
              <w:rPr>
                <w:b/>
                <w:bCs/>
                <w:sz w:val="20"/>
                <w:szCs w:val="20"/>
              </w:rPr>
            </w:pPr>
            <w:r w:rsidRPr="002C7BD9">
              <w:rPr>
                <w:b/>
                <w:bCs/>
                <w:sz w:val="20"/>
                <w:szCs w:val="20"/>
              </w:rPr>
              <w:t>ldpoloni</w:t>
            </w:r>
            <w:r>
              <w:rPr>
                <w:b/>
                <w:bCs/>
                <w:sz w:val="20"/>
                <w:szCs w:val="20"/>
              </w:rPr>
              <w:t>, page 12</w:t>
            </w:r>
          </w:p>
          <w:p w14:paraId="3976D6F0" w14:textId="77777777" w:rsidR="00D541BD" w:rsidRPr="002C7BD9" w:rsidRDefault="00D541BD" w:rsidP="00D541BD">
            <w:pPr>
              <w:pStyle w:val="BodyText"/>
              <w:spacing w:line="240" w:lineRule="auto"/>
              <w:jc w:val="left"/>
              <w:rPr>
                <w:b/>
                <w:bCs/>
                <w:sz w:val="20"/>
                <w:szCs w:val="20"/>
              </w:rPr>
            </w:pPr>
            <w:r>
              <w:rPr>
                <w:b/>
                <w:bCs/>
                <w:sz w:val="20"/>
                <w:szCs w:val="20"/>
              </w:rPr>
              <w:t>10/11</w:t>
            </w:r>
            <w:r w:rsidRPr="002C7BD9">
              <w:rPr>
                <w:b/>
                <w:bCs/>
                <w:sz w:val="20"/>
                <w:szCs w:val="20"/>
              </w:rPr>
              <w:t xml:space="preserve">/2014 </w:t>
            </w:r>
            <w:r>
              <w:rPr>
                <w:b/>
                <w:bCs/>
                <w:sz w:val="20"/>
                <w:szCs w:val="20"/>
              </w:rPr>
              <w:t>3:58:30 PM</w:t>
            </w:r>
          </w:p>
        </w:tc>
        <w:tc>
          <w:tcPr>
            <w:tcW w:w="5310" w:type="dxa"/>
          </w:tcPr>
          <w:p w14:paraId="1F208D61" w14:textId="77777777" w:rsidR="00D541BD" w:rsidRPr="00D541BD" w:rsidRDefault="00D541BD" w:rsidP="00D541BD">
            <w:pPr>
              <w:pStyle w:val="BodyText"/>
              <w:spacing w:line="240" w:lineRule="auto"/>
              <w:jc w:val="left"/>
              <w:rPr>
                <w:sz w:val="20"/>
                <w:szCs w:val="20"/>
              </w:rPr>
            </w:pPr>
            <w:r w:rsidRPr="00D541BD">
              <w:rPr>
                <w:sz w:val="20"/>
                <w:szCs w:val="20"/>
              </w:rPr>
              <w:t>(AAM)</w:t>
            </w:r>
          </w:p>
          <w:p w14:paraId="3EDC940F" w14:textId="77777777" w:rsidR="00D541BD" w:rsidRPr="00B40E50" w:rsidRDefault="00D541BD" w:rsidP="00D541BD">
            <w:pPr>
              <w:pStyle w:val="BodyText"/>
              <w:numPr>
                <w:ilvl w:val="0"/>
                <w:numId w:val="31"/>
              </w:numPr>
              <w:spacing w:line="240" w:lineRule="auto"/>
              <w:ind w:left="360"/>
              <w:jc w:val="left"/>
              <w:rPr>
                <w:sz w:val="20"/>
                <w:szCs w:val="20"/>
              </w:rPr>
            </w:pPr>
            <w:r>
              <w:rPr>
                <w:sz w:val="20"/>
                <w:szCs w:val="20"/>
              </w:rPr>
              <w:t>S</w:t>
            </w:r>
            <w:r w:rsidRPr="00D541BD">
              <w:rPr>
                <w:sz w:val="20"/>
                <w:szCs w:val="20"/>
              </w:rPr>
              <w:t>ome? Can you please rephrase</w:t>
            </w:r>
            <w:r>
              <w:rPr>
                <w:sz w:val="20"/>
                <w:szCs w:val="20"/>
              </w:rPr>
              <w:t>?</w:t>
            </w:r>
          </w:p>
        </w:tc>
        <w:tc>
          <w:tcPr>
            <w:tcW w:w="5310" w:type="dxa"/>
          </w:tcPr>
          <w:p w14:paraId="2F28EAC7" w14:textId="77777777" w:rsidR="00D541BD" w:rsidRPr="00B40E50" w:rsidRDefault="00441267" w:rsidP="00441267">
            <w:pPr>
              <w:pStyle w:val="BodyText"/>
              <w:numPr>
                <w:ilvl w:val="0"/>
                <w:numId w:val="31"/>
              </w:numPr>
              <w:spacing w:line="240" w:lineRule="auto"/>
              <w:ind w:left="360"/>
              <w:jc w:val="left"/>
              <w:rPr>
                <w:sz w:val="20"/>
                <w:szCs w:val="20"/>
              </w:rPr>
            </w:pPr>
            <w:r>
              <w:rPr>
                <w:sz w:val="20"/>
                <w:szCs w:val="20"/>
              </w:rPr>
              <w:t>Wording revised.</w:t>
            </w:r>
          </w:p>
        </w:tc>
      </w:tr>
      <w:tr w:rsidR="00D541BD" w:rsidRPr="00B40E50" w14:paraId="1A9F8061" w14:textId="77777777" w:rsidTr="008F2659">
        <w:trPr>
          <w:cantSplit/>
        </w:trPr>
        <w:tc>
          <w:tcPr>
            <w:tcW w:w="2430" w:type="dxa"/>
          </w:tcPr>
          <w:p w14:paraId="1E02624C" w14:textId="77777777" w:rsidR="00D541BD" w:rsidRPr="002C7BD9" w:rsidRDefault="00D541BD" w:rsidP="00D541BD">
            <w:pPr>
              <w:pStyle w:val="BodyText"/>
              <w:spacing w:line="240" w:lineRule="auto"/>
              <w:jc w:val="left"/>
              <w:rPr>
                <w:b/>
                <w:bCs/>
                <w:sz w:val="20"/>
                <w:szCs w:val="20"/>
              </w:rPr>
            </w:pPr>
            <w:r w:rsidRPr="002C7BD9">
              <w:rPr>
                <w:b/>
                <w:bCs/>
                <w:sz w:val="20"/>
                <w:szCs w:val="20"/>
              </w:rPr>
              <w:t>ldpoloni</w:t>
            </w:r>
            <w:r>
              <w:rPr>
                <w:b/>
                <w:bCs/>
                <w:sz w:val="20"/>
                <w:szCs w:val="20"/>
              </w:rPr>
              <w:t>, page 13</w:t>
            </w:r>
          </w:p>
          <w:p w14:paraId="5C81C28B" w14:textId="77777777" w:rsidR="00D541BD" w:rsidRPr="002C7BD9" w:rsidRDefault="00D541BD" w:rsidP="00D541BD">
            <w:pPr>
              <w:pStyle w:val="BodyText"/>
              <w:spacing w:line="240" w:lineRule="auto"/>
              <w:jc w:val="left"/>
              <w:rPr>
                <w:b/>
                <w:bCs/>
                <w:sz w:val="20"/>
                <w:szCs w:val="20"/>
              </w:rPr>
            </w:pPr>
            <w:r>
              <w:rPr>
                <w:b/>
                <w:bCs/>
                <w:sz w:val="20"/>
                <w:szCs w:val="20"/>
              </w:rPr>
              <w:t>07/11</w:t>
            </w:r>
            <w:r w:rsidRPr="002C7BD9">
              <w:rPr>
                <w:b/>
                <w:bCs/>
                <w:sz w:val="20"/>
                <w:szCs w:val="20"/>
              </w:rPr>
              <w:t xml:space="preserve">/2014 </w:t>
            </w:r>
            <w:r>
              <w:rPr>
                <w:b/>
                <w:bCs/>
                <w:sz w:val="20"/>
                <w:szCs w:val="20"/>
              </w:rPr>
              <w:t>12:48:05 PM</w:t>
            </w:r>
          </w:p>
        </w:tc>
        <w:tc>
          <w:tcPr>
            <w:tcW w:w="5310" w:type="dxa"/>
          </w:tcPr>
          <w:p w14:paraId="79112C87" w14:textId="77777777" w:rsidR="00D541BD" w:rsidRPr="00D541BD" w:rsidRDefault="00D541BD" w:rsidP="00D541BD">
            <w:pPr>
              <w:pStyle w:val="BodyText"/>
              <w:spacing w:line="240" w:lineRule="auto"/>
              <w:jc w:val="left"/>
              <w:rPr>
                <w:sz w:val="20"/>
                <w:szCs w:val="20"/>
              </w:rPr>
            </w:pPr>
            <w:r w:rsidRPr="00D541BD">
              <w:rPr>
                <w:sz w:val="20"/>
                <w:szCs w:val="20"/>
              </w:rPr>
              <w:t>(AANDC)</w:t>
            </w:r>
          </w:p>
          <w:p w14:paraId="22E635AD" w14:textId="77777777" w:rsidR="00D541BD" w:rsidRPr="00B40E50" w:rsidRDefault="00D541BD" w:rsidP="00D541BD">
            <w:pPr>
              <w:pStyle w:val="BodyText"/>
              <w:numPr>
                <w:ilvl w:val="0"/>
                <w:numId w:val="31"/>
              </w:numPr>
              <w:spacing w:line="240" w:lineRule="auto"/>
              <w:ind w:left="360"/>
              <w:jc w:val="left"/>
              <w:rPr>
                <w:sz w:val="20"/>
                <w:szCs w:val="20"/>
              </w:rPr>
            </w:pPr>
            <w:r w:rsidRPr="00D541BD">
              <w:rPr>
                <w:sz w:val="20"/>
                <w:szCs w:val="20"/>
              </w:rPr>
              <w:t>Does Quantity along really matter in this discussion? Should the focus not be on quantity and the associated unit rate?</w:t>
            </w:r>
          </w:p>
        </w:tc>
        <w:tc>
          <w:tcPr>
            <w:tcW w:w="5310" w:type="dxa"/>
          </w:tcPr>
          <w:p w14:paraId="74A5E06C" w14:textId="77777777" w:rsidR="00D541BD" w:rsidRPr="00B40E50" w:rsidRDefault="00441267" w:rsidP="00441267">
            <w:pPr>
              <w:pStyle w:val="BodyText"/>
              <w:numPr>
                <w:ilvl w:val="0"/>
                <w:numId w:val="31"/>
              </w:numPr>
              <w:spacing w:line="240" w:lineRule="auto"/>
              <w:ind w:left="360"/>
              <w:jc w:val="left"/>
              <w:rPr>
                <w:sz w:val="20"/>
                <w:szCs w:val="20"/>
              </w:rPr>
            </w:pPr>
            <w:r>
              <w:rPr>
                <w:sz w:val="20"/>
                <w:szCs w:val="20"/>
              </w:rPr>
              <w:t>The reconciliation exercise included a particular focus on the civil quantities because of their predominant influence on both estimates. Understanding the difference in the estimates requires an understanding of the difference in the civil material quantity derivations and volumes.</w:t>
            </w:r>
          </w:p>
        </w:tc>
      </w:tr>
      <w:tr w:rsidR="000855C9" w:rsidRPr="00B40E50" w14:paraId="233D515C" w14:textId="77777777" w:rsidTr="008F2659">
        <w:trPr>
          <w:cantSplit/>
        </w:trPr>
        <w:tc>
          <w:tcPr>
            <w:tcW w:w="2430" w:type="dxa"/>
          </w:tcPr>
          <w:p w14:paraId="740CC780" w14:textId="77777777" w:rsidR="000855C9" w:rsidRPr="002C7BD9" w:rsidRDefault="000855C9" w:rsidP="000855C9">
            <w:pPr>
              <w:pStyle w:val="BodyText"/>
              <w:spacing w:line="240" w:lineRule="auto"/>
              <w:jc w:val="left"/>
              <w:rPr>
                <w:b/>
                <w:bCs/>
                <w:sz w:val="20"/>
                <w:szCs w:val="20"/>
              </w:rPr>
            </w:pPr>
            <w:r w:rsidRPr="002C7BD9">
              <w:rPr>
                <w:b/>
                <w:bCs/>
                <w:sz w:val="20"/>
                <w:szCs w:val="20"/>
              </w:rPr>
              <w:t>ldpoloni</w:t>
            </w:r>
            <w:r>
              <w:rPr>
                <w:b/>
                <w:bCs/>
                <w:sz w:val="20"/>
                <w:szCs w:val="20"/>
              </w:rPr>
              <w:t>, page 14</w:t>
            </w:r>
          </w:p>
          <w:p w14:paraId="294E7788" w14:textId="77777777" w:rsidR="000855C9" w:rsidRPr="002C7BD9" w:rsidRDefault="000855C9" w:rsidP="000855C9">
            <w:pPr>
              <w:pStyle w:val="BodyText"/>
              <w:spacing w:line="240" w:lineRule="auto"/>
              <w:jc w:val="left"/>
              <w:rPr>
                <w:b/>
                <w:bCs/>
                <w:sz w:val="20"/>
                <w:szCs w:val="20"/>
              </w:rPr>
            </w:pPr>
            <w:r>
              <w:rPr>
                <w:b/>
                <w:bCs/>
                <w:sz w:val="20"/>
                <w:szCs w:val="20"/>
              </w:rPr>
              <w:t>10/11</w:t>
            </w:r>
            <w:r w:rsidRPr="002C7BD9">
              <w:rPr>
                <w:b/>
                <w:bCs/>
                <w:sz w:val="20"/>
                <w:szCs w:val="20"/>
              </w:rPr>
              <w:t xml:space="preserve">/2014 </w:t>
            </w:r>
            <w:r>
              <w:rPr>
                <w:b/>
                <w:bCs/>
                <w:sz w:val="20"/>
                <w:szCs w:val="20"/>
              </w:rPr>
              <w:t>4:01:55 PM</w:t>
            </w:r>
          </w:p>
        </w:tc>
        <w:tc>
          <w:tcPr>
            <w:tcW w:w="5310" w:type="dxa"/>
          </w:tcPr>
          <w:p w14:paraId="424C63F7" w14:textId="77777777" w:rsidR="000855C9" w:rsidRPr="000855C9" w:rsidRDefault="000855C9" w:rsidP="000855C9">
            <w:pPr>
              <w:pStyle w:val="BodyText"/>
              <w:spacing w:line="240" w:lineRule="auto"/>
              <w:jc w:val="left"/>
              <w:rPr>
                <w:sz w:val="20"/>
                <w:szCs w:val="20"/>
              </w:rPr>
            </w:pPr>
            <w:r w:rsidRPr="000855C9">
              <w:rPr>
                <w:sz w:val="20"/>
                <w:szCs w:val="20"/>
              </w:rPr>
              <w:t>(AAM)</w:t>
            </w:r>
          </w:p>
          <w:p w14:paraId="07A3C01E" w14:textId="77777777" w:rsidR="000855C9" w:rsidRPr="00B40E50" w:rsidRDefault="000855C9" w:rsidP="000855C9">
            <w:pPr>
              <w:pStyle w:val="BodyText"/>
              <w:numPr>
                <w:ilvl w:val="0"/>
                <w:numId w:val="31"/>
              </w:numPr>
              <w:spacing w:line="240" w:lineRule="auto"/>
              <w:ind w:left="360"/>
              <w:jc w:val="left"/>
              <w:rPr>
                <w:sz w:val="20"/>
                <w:szCs w:val="20"/>
              </w:rPr>
            </w:pPr>
            <w:r w:rsidRPr="000855C9">
              <w:rPr>
                <w:sz w:val="20"/>
                <w:szCs w:val="20"/>
              </w:rPr>
              <w:t>Can this be explained? What is meant by this?</w:t>
            </w:r>
          </w:p>
        </w:tc>
        <w:tc>
          <w:tcPr>
            <w:tcW w:w="5310" w:type="dxa"/>
          </w:tcPr>
          <w:p w14:paraId="300DFA05" w14:textId="77777777" w:rsidR="000855C9" w:rsidRPr="00B40E50" w:rsidRDefault="00441267" w:rsidP="00441267">
            <w:pPr>
              <w:pStyle w:val="BodyText"/>
              <w:numPr>
                <w:ilvl w:val="0"/>
                <w:numId w:val="31"/>
              </w:numPr>
              <w:spacing w:line="240" w:lineRule="auto"/>
              <w:ind w:left="360"/>
              <w:jc w:val="left"/>
              <w:rPr>
                <w:sz w:val="20"/>
                <w:szCs w:val="20"/>
              </w:rPr>
            </w:pPr>
            <w:r>
              <w:rPr>
                <w:sz w:val="20"/>
                <w:szCs w:val="20"/>
              </w:rPr>
              <w:t>The report wording has been revised to clarify the intent here.</w:t>
            </w:r>
          </w:p>
        </w:tc>
      </w:tr>
      <w:tr w:rsidR="000855C9" w:rsidRPr="00B40E50" w14:paraId="3B6C6C53" w14:textId="77777777" w:rsidTr="008F2659">
        <w:tc>
          <w:tcPr>
            <w:tcW w:w="2430" w:type="dxa"/>
          </w:tcPr>
          <w:p w14:paraId="0266EB1A" w14:textId="77777777" w:rsidR="000855C9" w:rsidRPr="002C7BD9" w:rsidRDefault="000855C9" w:rsidP="000855C9">
            <w:pPr>
              <w:pStyle w:val="BodyText"/>
              <w:spacing w:line="240" w:lineRule="auto"/>
              <w:jc w:val="left"/>
              <w:rPr>
                <w:b/>
                <w:bCs/>
                <w:sz w:val="20"/>
                <w:szCs w:val="20"/>
              </w:rPr>
            </w:pPr>
            <w:r w:rsidRPr="002C7BD9">
              <w:rPr>
                <w:b/>
                <w:bCs/>
                <w:sz w:val="20"/>
                <w:szCs w:val="20"/>
              </w:rPr>
              <w:t>ldpoloni</w:t>
            </w:r>
            <w:r>
              <w:rPr>
                <w:b/>
                <w:bCs/>
                <w:sz w:val="20"/>
                <w:szCs w:val="20"/>
              </w:rPr>
              <w:t>, page 14</w:t>
            </w:r>
          </w:p>
          <w:p w14:paraId="4155EC28" w14:textId="77777777" w:rsidR="000855C9" w:rsidRPr="002C7BD9" w:rsidRDefault="000855C9" w:rsidP="000855C9">
            <w:pPr>
              <w:pStyle w:val="BodyText"/>
              <w:spacing w:line="240" w:lineRule="auto"/>
              <w:jc w:val="left"/>
              <w:rPr>
                <w:b/>
                <w:bCs/>
                <w:sz w:val="20"/>
                <w:szCs w:val="20"/>
              </w:rPr>
            </w:pPr>
            <w:r>
              <w:rPr>
                <w:b/>
                <w:bCs/>
                <w:sz w:val="20"/>
                <w:szCs w:val="20"/>
              </w:rPr>
              <w:t>10/11</w:t>
            </w:r>
            <w:r w:rsidRPr="002C7BD9">
              <w:rPr>
                <w:b/>
                <w:bCs/>
                <w:sz w:val="20"/>
                <w:szCs w:val="20"/>
              </w:rPr>
              <w:t xml:space="preserve">/2014 </w:t>
            </w:r>
            <w:r>
              <w:rPr>
                <w:b/>
                <w:bCs/>
                <w:sz w:val="20"/>
                <w:szCs w:val="20"/>
              </w:rPr>
              <w:t>4:03:22 PM</w:t>
            </w:r>
          </w:p>
        </w:tc>
        <w:tc>
          <w:tcPr>
            <w:tcW w:w="5310" w:type="dxa"/>
          </w:tcPr>
          <w:p w14:paraId="18519EB7" w14:textId="77777777" w:rsidR="000855C9" w:rsidRPr="000855C9" w:rsidRDefault="000855C9" w:rsidP="000855C9">
            <w:pPr>
              <w:pStyle w:val="BodyText"/>
              <w:spacing w:line="240" w:lineRule="auto"/>
              <w:jc w:val="left"/>
              <w:rPr>
                <w:sz w:val="20"/>
                <w:szCs w:val="20"/>
              </w:rPr>
            </w:pPr>
            <w:r w:rsidRPr="000855C9">
              <w:rPr>
                <w:sz w:val="20"/>
                <w:szCs w:val="20"/>
              </w:rPr>
              <w:t>(AANDC)</w:t>
            </w:r>
          </w:p>
          <w:p w14:paraId="0E429758" w14:textId="77777777" w:rsidR="000855C9" w:rsidRPr="000855C9" w:rsidRDefault="000855C9" w:rsidP="000855C9">
            <w:pPr>
              <w:pStyle w:val="BodyText"/>
              <w:numPr>
                <w:ilvl w:val="0"/>
                <w:numId w:val="31"/>
              </w:numPr>
              <w:spacing w:line="240" w:lineRule="auto"/>
              <w:ind w:left="360"/>
              <w:jc w:val="left"/>
              <w:rPr>
                <w:sz w:val="20"/>
                <w:szCs w:val="20"/>
              </w:rPr>
            </w:pPr>
            <w:r w:rsidRPr="000855C9">
              <w:rPr>
                <w:sz w:val="20"/>
                <w:szCs w:val="20"/>
              </w:rPr>
              <w:t>What would be beneficial here is a table that summarizes what was included in the AECOM estimate and what AMEC</w:t>
            </w:r>
            <w:r w:rsidR="00E56084">
              <w:rPr>
                <w:sz w:val="20"/>
                <w:szCs w:val="20"/>
              </w:rPr>
              <w:t>’</w:t>
            </w:r>
            <w:r w:rsidRPr="000855C9">
              <w:rPr>
                <w:sz w:val="20"/>
                <w:szCs w:val="20"/>
              </w:rPr>
              <w:t xml:space="preserve">s estimate to do the same </w:t>
            </w:r>
            <w:r w:rsidRPr="000855C9">
              <w:rPr>
                <w:sz w:val="20"/>
                <w:szCs w:val="20"/>
              </w:rPr>
              <w:lastRenderedPageBreak/>
              <w:t>work was (i.e.</w:t>
            </w:r>
            <w:r w:rsidR="00E56084">
              <w:rPr>
                <w:sz w:val="20"/>
                <w:szCs w:val="20"/>
              </w:rPr>
              <w:t>,</w:t>
            </w:r>
            <w:r w:rsidRPr="000855C9">
              <w:rPr>
                <w:sz w:val="20"/>
                <w:szCs w:val="20"/>
              </w:rPr>
              <w:t xml:space="preserve"> what did the partners agree to at the time of selecting Option 4) ... then have another column that would total up “required items missed by AECOM (e.g.</w:t>
            </w:r>
            <w:r w:rsidR="00E56084">
              <w:rPr>
                <w:sz w:val="20"/>
                <w:szCs w:val="20"/>
              </w:rPr>
              <w:t>,</w:t>
            </w:r>
            <w:r w:rsidRPr="000855C9">
              <w:rPr>
                <w:sz w:val="20"/>
                <w:szCs w:val="20"/>
              </w:rPr>
              <w:t xml:space="preserve"> hazardous soils, design contingencies, adaptive management, contractor indirects)</w:t>
            </w:r>
            <w:r w:rsidR="00E56084">
              <w:rPr>
                <w:sz w:val="20"/>
                <w:szCs w:val="20"/>
              </w:rPr>
              <w:t>.</w:t>
            </w:r>
            <w:r w:rsidRPr="000855C9">
              <w:rPr>
                <w:sz w:val="20"/>
                <w:szCs w:val="20"/>
              </w:rPr>
              <w:t xml:space="preserve"> Then have another column that states costs associated with a change in design assumption (e.g.</w:t>
            </w:r>
            <w:r w:rsidR="00E56084">
              <w:rPr>
                <w:sz w:val="20"/>
                <w:szCs w:val="20"/>
              </w:rPr>
              <w:t>,</w:t>
            </w:r>
            <w:r w:rsidRPr="000855C9">
              <w:rPr>
                <w:sz w:val="20"/>
                <w:szCs w:val="20"/>
              </w:rPr>
              <w:t xml:space="preserve"> site maintenance between construction seasons, tailings excavation methodology, TSF reclamation, landforming, second cover) ... it would be helpful to split the contingency difference up over those sections. For a quick first look, I think the AECOM/</w:t>
            </w:r>
            <w:r w:rsidR="00966193">
              <w:rPr>
                <w:sz w:val="20"/>
                <w:szCs w:val="20"/>
              </w:rPr>
              <w:t xml:space="preserve"> </w:t>
            </w:r>
            <w:r w:rsidRPr="000855C9">
              <w:rPr>
                <w:sz w:val="20"/>
                <w:szCs w:val="20"/>
              </w:rPr>
              <w:t>AMEC estimates for the same scope of work would be within or close to the error bars associated with the AECOM estimate and would help break out the reasons for the substantial difference in cost.</w:t>
            </w:r>
          </w:p>
          <w:p w14:paraId="2BB4BBAC" w14:textId="77777777" w:rsidR="000855C9" w:rsidRPr="00B40E50" w:rsidRDefault="000855C9" w:rsidP="00E56084">
            <w:pPr>
              <w:pStyle w:val="BodyText"/>
              <w:numPr>
                <w:ilvl w:val="0"/>
                <w:numId w:val="31"/>
              </w:numPr>
              <w:spacing w:line="240" w:lineRule="auto"/>
              <w:ind w:left="360"/>
              <w:jc w:val="left"/>
              <w:rPr>
                <w:sz w:val="20"/>
                <w:szCs w:val="20"/>
              </w:rPr>
            </w:pPr>
            <w:r w:rsidRPr="000855C9">
              <w:rPr>
                <w:sz w:val="20"/>
                <w:szCs w:val="20"/>
              </w:rPr>
              <w:t>I also think that there should be a section on the design assumptions. Simply taking the assumptions listed in the Lorax Report for Option 4 and then commenting on whether the assumption is still valid and if not, how it has changed and why (e.g.</w:t>
            </w:r>
            <w:r w:rsidR="00E56084">
              <w:rPr>
                <w:sz w:val="20"/>
                <w:szCs w:val="20"/>
              </w:rPr>
              <w:t>,</w:t>
            </w:r>
            <w:r w:rsidRPr="000855C9">
              <w:rPr>
                <w:sz w:val="20"/>
                <w:szCs w:val="20"/>
              </w:rPr>
              <w:t xml:space="preserve"> new data, professional judgment, etc</w:t>
            </w:r>
            <w:r w:rsidR="00E56084">
              <w:rPr>
                <w:sz w:val="20"/>
                <w:szCs w:val="20"/>
              </w:rPr>
              <w:t>.</w:t>
            </w:r>
            <w:r w:rsidRPr="000855C9">
              <w:rPr>
                <w:sz w:val="20"/>
                <w:szCs w:val="20"/>
              </w:rPr>
              <w:t>)</w:t>
            </w:r>
            <w:r w:rsidR="00E56084">
              <w:rPr>
                <w:sz w:val="20"/>
                <w:szCs w:val="20"/>
              </w:rPr>
              <w:t>?</w:t>
            </w:r>
          </w:p>
        </w:tc>
        <w:tc>
          <w:tcPr>
            <w:tcW w:w="5310" w:type="dxa"/>
          </w:tcPr>
          <w:p w14:paraId="4F9091DF" w14:textId="632D6654" w:rsidR="000855C9" w:rsidRDefault="00F84418" w:rsidP="00B5311F">
            <w:pPr>
              <w:pStyle w:val="BodyText"/>
              <w:numPr>
                <w:ilvl w:val="0"/>
                <w:numId w:val="31"/>
              </w:numPr>
              <w:spacing w:line="240" w:lineRule="auto"/>
              <w:ind w:left="360"/>
              <w:jc w:val="left"/>
              <w:rPr>
                <w:sz w:val="20"/>
                <w:szCs w:val="20"/>
              </w:rPr>
            </w:pPr>
            <w:r>
              <w:rPr>
                <w:sz w:val="20"/>
                <w:szCs w:val="20"/>
              </w:rPr>
              <w:lastRenderedPageBreak/>
              <w:t>T</w:t>
            </w:r>
            <w:r w:rsidR="00B5311F">
              <w:rPr>
                <w:sz w:val="20"/>
                <w:szCs w:val="20"/>
              </w:rPr>
              <w:t xml:space="preserve">able </w:t>
            </w:r>
            <w:r>
              <w:rPr>
                <w:sz w:val="20"/>
                <w:szCs w:val="20"/>
              </w:rPr>
              <w:t xml:space="preserve">2.3.1-1 </w:t>
            </w:r>
            <w:r w:rsidR="00B5311F">
              <w:rPr>
                <w:sz w:val="20"/>
                <w:szCs w:val="20"/>
              </w:rPr>
              <w:t xml:space="preserve">has been added summarizing the Option 4 objectives and scope elements as LORAX described them pre-Phase 1. Qualitative comments noting that these basic scope descriptions did not </w:t>
            </w:r>
            <w:r w:rsidR="00B5311F">
              <w:rPr>
                <w:sz w:val="20"/>
                <w:szCs w:val="20"/>
              </w:rPr>
              <w:lastRenderedPageBreak/>
              <w:t>change post Phase 1 (and, therefore, don’t account for the estimate differences) have also been added. The detailed reconciliation for individual scope areas (which are grounded in the different assumptions about methods and schedules outlined in Section</w:t>
            </w:r>
            <w:r w:rsidR="00D15FF3">
              <w:rPr>
                <w:sz w:val="20"/>
                <w:szCs w:val="20"/>
              </w:rPr>
              <w:t> </w:t>
            </w:r>
            <w:r w:rsidR="00B5311F">
              <w:rPr>
                <w:sz w:val="20"/>
                <w:szCs w:val="20"/>
              </w:rPr>
              <w:t>2.</w:t>
            </w:r>
            <w:r>
              <w:rPr>
                <w:sz w:val="20"/>
                <w:szCs w:val="20"/>
              </w:rPr>
              <w:t>5.2</w:t>
            </w:r>
            <w:r w:rsidR="00B5311F">
              <w:rPr>
                <w:sz w:val="20"/>
                <w:szCs w:val="20"/>
              </w:rPr>
              <w:t xml:space="preserve"> of the review report) is provided in Appendix 2A.</w:t>
            </w:r>
          </w:p>
          <w:p w14:paraId="7838F06D" w14:textId="14EC09DA" w:rsidR="00B5311F" w:rsidRPr="00B40E50" w:rsidRDefault="00B5311F" w:rsidP="00B5311F">
            <w:pPr>
              <w:pStyle w:val="BodyText"/>
              <w:numPr>
                <w:ilvl w:val="0"/>
                <w:numId w:val="31"/>
              </w:numPr>
              <w:spacing w:line="240" w:lineRule="auto"/>
              <w:ind w:left="360"/>
              <w:jc w:val="left"/>
              <w:rPr>
                <w:sz w:val="20"/>
                <w:szCs w:val="20"/>
              </w:rPr>
            </w:pPr>
            <w:r>
              <w:rPr>
                <w:sz w:val="20"/>
                <w:szCs w:val="20"/>
              </w:rPr>
              <w:t>We have added comments to Section 2.</w:t>
            </w:r>
            <w:r w:rsidR="00F84418">
              <w:rPr>
                <w:sz w:val="20"/>
                <w:szCs w:val="20"/>
              </w:rPr>
              <w:t>5.2</w:t>
            </w:r>
            <w:r>
              <w:rPr>
                <w:sz w:val="20"/>
                <w:szCs w:val="20"/>
              </w:rPr>
              <w:t xml:space="preserve"> discussing how the costs for missing scope elements and the upper and lower bound variances applicable to the AECOM and AMEC estimates</w:t>
            </w:r>
            <w:r w:rsidR="00150E16">
              <w:rPr>
                <w:sz w:val="20"/>
                <w:szCs w:val="20"/>
              </w:rPr>
              <w:t>,</w:t>
            </w:r>
            <w:r>
              <w:rPr>
                <w:sz w:val="20"/>
                <w:szCs w:val="20"/>
              </w:rPr>
              <w:t xml:space="preserve"> relate to the total variance between the estimates.</w:t>
            </w:r>
          </w:p>
        </w:tc>
      </w:tr>
      <w:tr w:rsidR="00E56084" w:rsidRPr="00B40E50" w14:paraId="44C1218C" w14:textId="77777777" w:rsidTr="008F2659">
        <w:trPr>
          <w:cantSplit/>
        </w:trPr>
        <w:tc>
          <w:tcPr>
            <w:tcW w:w="2430" w:type="dxa"/>
          </w:tcPr>
          <w:p w14:paraId="49848731" w14:textId="77777777" w:rsidR="00E56084" w:rsidRPr="002C7BD9" w:rsidRDefault="00E56084" w:rsidP="00E56084">
            <w:pPr>
              <w:pStyle w:val="BodyText"/>
              <w:spacing w:line="240" w:lineRule="auto"/>
              <w:jc w:val="left"/>
              <w:rPr>
                <w:b/>
                <w:bCs/>
                <w:sz w:val="20"/>
                <w:szCs w:val="20"/>
              </w:rPr>
            </w:pPr>
            <w:r w:rsidRPr="002C7BD9">
              <w:rPr>
                <w:b/>
                <w:bCs/>
                <w:sz w:val="20"/>
                <w:szCs w:val="20"/>
              </w:rPr>
              <w:lastRenderedPageBreak/>
              <w:t>ldpoloni</w:t>
            </w:r>
            <w:r>
              <w:rPr>
                <w:b/>
                <w:bCs/>
                <w:sz w:val="20"/>
                <w:szCs w:val="20"/>
              </w:rPr>
              <w:t>, page 15</w:t>
            </w:r>
          </w:p>
          <w:p w14:paraId="7C4330DF" w14:textId="77777777" w:rsidR="00E56084" w:rsidRPr="002C7BD9" w:rsidRDefault="00E56084" w:rsidP="00E56084">
            <w:pPr>
              <w:pStyle w:val="BodyText"/>
              <w:spacing w:line="240" w:lineRule="auto"/>
              <w:jc w:val="left"/>
              <w:rPr>
                <w:b/>
                <w:bCs/>
                <w:sz w:val="20"/>
                <w:szCs w:val="20"/>
              </w:rPr>
            </w:pPr>
            <w:r>
              <w:rPr>
                <w:b/>
                <w:bCs/>
                <w:sz w:val="20"/>
                <w:szCs w:val="20"/>
              </w:rPr>
              <w:t>07/11</w:t>
            </w:r>
            <w:r w:rsidRPr="002C7BD9">
              <w:rPr>
                <w:b/>
                <w:bCs/>
                <w:sz w:val="20"/>
                <w:szCs w:val="20"/>
              </w:rPr>
              <w:t xml:space="preserve">/2014 </w:t>
            </w:r>
            <w:r>
              <w:rPr>
                <w:b/>
                <w:bCs/>
                <w:sz w:val="20"/>
                <w:szCs w:val="20"/>
              </w:rPr>
              <w:t>12:48:28 PM</w:t>
            </w:r>
          </w:p>
        </w:tc>
        <w:tc>
          <w:tcPr>
            <w:tcW w:w="5310" w:type="dxa"/>
          </w:tcPr>
          <w:p w14:paraId="38B6E58E" w14:textId="77777777" w:rsidR="00E56084" w:rsidRPr="00E56084" w:rsidRDefault="00E56084" w:rsidP="00E56084">
            <w:pPr>
              <w:pStyle w:val="BodyText"/>
              <w:spacing w:line="240" w:lineRule="auto"/>
              <w:jc w:val="left"/>
              <w:rPr>
                <w:sz w:val="20"/>
                <w:szCs w:val="20"/>
              </w:rPr>
            </w:pPr>
            <w:r w:rsidRPr="00E56084">
              <w:rPr>
                <w:sz w:val="20"/>
                <w:szCs w:val="20"/>
              </w:rPr>
              <w:t>(AANDC)</w:t>
            </w:r>
          </w:p>
          <w:p w14:paraId="5B914CE1" w14:textId="77777777" w:rsidR="00E56084" w:rsidRPr="00B40E50" w:rsidRDefault="00E56084" w:rsidP="00E56084">
            <w:pPr>
              <w:pStyle w:val="BodyText"/>
              <w:numPr>
                <w:ilvl w:val="0"/>
                <w:numId w:val="31"/>
              </w:numPr>
              <w:spacing w:line="240" w:lineRule="auto"/>
              <w:ind w:left="360"/>
              <w:jc w:val="left"/>
              <w:rPr>
                <w:sz w:val="20"/>
                <w:szCs w:val="20"/>
              </w:rPr>
            </w:pPr>
            <w:r w:rsidRPr="00E56084">
              <w:rPr>
                <w:sz w:val="20"/>
                <w:szCs w:val="20"/>
              </w:rPr>
              <w:t>It would be useful to note the pre-phase 1 basis and assumptions as well, since that is what we are comparing to.</w:t>
            </w:r>
          </w:p>
        </w:tc>
        <w:tc>
          <w:tcPr>
            <w:tcW w:w="5310" w:type="dxa"/>
          </w:tcPr>
          <w:p w14:paraId="703F3AD6" w14:textId="1E2BE80C" w:rsidR="00E56084" w:rsidRPr="00B40E50" w:rsidRDefault="0030304A" w:rsidP="0030304A">
            <w:pPr>
              <w:pStyle w:val="BodyText"/>
              <w:numPr>
                <w:ilvl w:val="0"/>
                <w:numId w:val="31"/>
              </w:numPr>
              <w:spacing w:line="240" w:lineRule="auto"/>
              <w:ind w:left="360"/>
              <w:jc w:val="left"/>
              <w:rPr>
                <w:sz w:val="20"/>
                <w:szCs w:val="20"/>
              </w:rPr>
            </w:pPr>
            <w:r>
              <w:rPr>
                <w:sz w:val="20"/>
                <w:szCs w:val="20"/>
              </w:rPr>
              <w:t>Table</w:t>
            </w:r>
            <w:r w:rsidR="00F84418">
              <w:rPr>
                <w:sz w:val="20"/>
                <w:szCs w:val="20"/>
              </w:rPr>
              <w:t xml:space="preserve"> 2.3.1</w:t>
            </w:r>
            <w:r>
              <w:rPr>
                <w:sz w:val="20"/>
                <w:szCs w:val="20"/>
              </w:rPr>
              <w:t>-1 has been added to the reconciliation section to address this.</w:t>
            </w:r>
          </w:p>
        </w:tc>
      </w:tr>
      <w:tr w:rsidR="00E56084" w:rsidRPr="00B40E50" w14:paraId="3A6C68D8" w14:textId="77777777" w:rsidTr="005C0BE1">
        <w:tc>
          <w:tcPr>
            <w:tcW w:w="2430" w:type="dxa"/>
          </w:tcPr>
          <w:p w14:paraId="4030D0CD" w14:textId="77777777" w:rsidR="00E56084" w:rsidRPr="002C7BD9" w:rsidRDefault="00E56084" w:rsidP="00E56084">
            <w:pPr>
              <w:pStyle w:val="BodyText"/>
              <w:spacing w:line="240" w:lineRule="auto"/>
              <w:jc w:val="left"/>
              <w:rPr>
                <w:b/>
                <w:bCs/>
                <w:sz w:val="20"/>
                <w:szCs w:val="20"/>
              </w:rPr>
            </w:pPr>
            <w:r w:rsidRPr="002C7BD9">
              <w:rPr>
                <w:b/>
                <w:bCs/>
                <w:sz w:val="20"/>
                <w:szCs w:val="20"/>
              </w:rPr>
              <w:t>ldpoloni</w:t>
            </w:r>
            <w:r>
              <w:rPr>
                <w:b/>
                <w:bCs/>
                <w:sz w:val="20"/>
                <w:szCs w:val="20"/>
              </w:rPr>
              <w:t>, page 16</w:t>
            </w:r>
          </w:p>
          <w:p w14:paraId="2BC71341" w14:textId="77777777" w:rsidR="00E56084" w:rsidRPr="002C7BD9" w:rsidRDefault="00E56084" w:rsidP="00E56084">
            <w:pPr>
              <w:pStyle w:val="BodyText"/>
              <w:spacing w:line="240" w:lineRule="auto"/>
              <w:jc w:val="left"/>
              <w:rPr>
                <w:b/>
                <w:bCs/>
                <w:sz w:val="20"/>
                <w:szCs w:val="20"/>
              </w:rPr>
            </w:pPr>
            <w:r>
              <w:rPr>
                <w:b/>
                <w:bCs/>
                <w:sz w:val="20"/>
                <w:szCs w:val="20"/>
              </w:rPr>
              <w:t>07/11</w:t>
            </w:r>
            <w:r w:rsidRPr="002C7BD9">
              <w:rPr>
                <w:b/>
                <w:bCs/>
                <w:sz w:val="20"/>
                <w:szCs w:val="20"/>
              </w:rPr>
              <w:t xml:space="preserve">/2014 </w:t>
            </w:r>
            <w:r>
              <w:rPr>
                <w:b/>
                <w:bCs/>
                <w:sz w:val="20"/>
                <w:szCs w:val="20"/>
              </w:rPr>
              <w:t>12:48:35 PM</w:t>
            </w:r>
          </w:p>
        </w:tc>
        <w:tc>
          <w:tcPr>
            <w:tcW w:w="5310" w:type="dxa"/>
          </w:tcPr>
          <w:p w14:paraId="0F3A62BB" w14:textId="77777777" w:rsidR="00E56084" w:rsidRPr="00E56084" w:rsidRDefault="00E56084" w:rsidP="00E56084">
            <w:pPr>
              <w:pStyle w:val="BodyText"/>
              <w:spacing w:line="240" w:lineRule="auto"/>
              <w:jc w:val="left"/>
              <w:rPr>
                <w:sz w:val="20"/>
                <w:szCs w:val="20"/>
              </w:rPr>
            </w:pPr>
            <w:r w:rsidRPr="00E56084">
              <w:rPr>
                <w:sz w:val="20"/>
                <w:szCs w:val="20"/>
              </w:rPr>
              <w:t>(AANDC)</w:t>
            </w:r>
          </w:p>
          <w:p w14:paraId="4DEA69AA" w14:textId="77777777" w:rsidR="00E56084" w:rsidRPr="00B40E50" w:rsidRDefault="005E6960" w:rsidP="00E56084">
            <w:pPr>
              <w:pStyle w:val="BodyText"/>
              <w:numPr>
                <w:ilvl w:val="0"/>
                <w:numId w:val="31"/>
              </w:numPr>
              <w:spacing w:line="240" w:lineRule="auto"/>
              <w:ind w:left="360"/>
              <w:jc w:val="left"/>
              <w:rPr>
                <w:sz w:val="20"/>
                <w:szCs w:val="20"/>
              </w:rPr>
            </w:pPr>
            <w:r>
              <w:rPr>
                <w:sz w:val="20"/>
                <w:szCs w:val="20"/>
              </w:rPr>
              <w:t>Inser</w:t>
            </w:r>
            <w:r w:rsidR="00E56084" w:rsidRPr="00E56084">
              <w:rPr>
                <w:sz w:val="20"/>
                <w:szCs w:val="20"/>
              </w:rPr>
              <w:t>t column between Key Scope Area and Basis of Phase 1 Estimate named, "Pre-Phase 1 Basis</w:t>
            </w:r>
          </w:p>
        </w:tc>
        <w:tc>
          <w:tcPr>
            <w:tcW w:w="5310" w:type="dxa"/>
          </w:tcPr>
          <w:p w14:paraId="34E46E68" w14:textId="77777777" w:rsidR="00E56084" w:rsidRPr="00B40E50" w:rsidRDefault="0030304A" w:rsidP="00150E16">
            <w:pPr>
              <w:pStyle w:val="BodyText"/>
              <w:numPr>
                <w:ilvl w:val="0"/>
                <w:numId w:val="31"/>
              </w:numPr>
              <w:spacing w:line="240" w:lineRule="auto"/>
              <w:ind w:left="360"/>
              <w:jc w:val="left"/>
              <w:rPr>
                <w:sz w:val="20"/>
                <w:szCs w:val="20"/>
              </w:rPr>
            </w:pPr>
            <w:r>
              <w:rPr>
                <w:sz w:val="20"/>
                <w:szCs w:val="20"/>
              </w:rPr>
              <w:t>This section of the cost review (and this aligned with the agreed project scope of work) is intended to define and consider potential variations in assumptions applied in AMEC’s Phase 1 estimate. It was never intended as a continuation of the reconciliation exercise, which is addressed in Section 2 of the report (i.e., Table 3.2-1’s point of origin is the Phase 1 schedule of assumptions, not the pre-Phase</w:t>
            </w:r>
            <w:r w:rsidR="00D15FF3">
              <w:rPr>
                <w:sz w:val="20"/>
                <w:szCs w:val="20"/>
              </w:rPr>
              <w:t> </w:t>
            </w:r>
            <w:r>
              <w:rPr>
                <w:sz w:val="20"/>
                <w:szCs w:val="20"/>
              </w:rPr>
              <w:t xml:space="preserve">1 assumptions). Aligning the pre-Phase 1 assumptions in ways that offer useful comparisons with the proposed Phase 1 assumption </w:t>
            </w:r>
            <w:r w:rsidR="00026533">
              <w:rPr>
                <w:sz w:val="20"/>
                <w:szCs w:val="20"/>
              </w:rPr>
              <w:t>adjustments</w:t>
            </w:r>
            <w:r>
              <w:rPr>
                <w:sz w:val="20"/>
                <w:szCs w:val="20"/>
              </w:rPr>
              <w:t xml:space="preserve"> is not necessarily straightforward, and in our view </w:t>
            </w:r>
            <w:r>
              <w:rPr>
                <w:sz w:val="20"/>
                <w:szCs w:val="20"/>
              </w:rPr>
              <w:lastRenderedPageBreak/>
              <w:t xml:space="preserve">would </w:t>
            </w:r>
            <w:r w:rsidR="00026533">
              <w:rPr>
                <w:sz w:val="20"/>
                <w:szCs w:val="20"/>
              </w:rPr>
              <w:t>not</w:t>
            </w:r>
            <w:r>
              <w:rPr>
                <w:sz w:val="20"/>
                <w:szCs w:val="20"/>
              </w:rPr>
              <w:t xml:space="preserve"> add materially to the understanding of reconciliation issues that </w:t>
            </w:r>
            <w:r w:rsidR="00150E16">
              <w:rPr>
                <w:sz w:val="20"/>
                <w:szCs w:val="20"/>
              </w:rPr>
              <w:t>is</w:t>
            </w:r>
            <w:r>
              <w:rPr>
                <w:sz w:val="20"/>
                <w:szCs w:val="20"/>
              </w:rPr>
              <w:t xml:space="preserve"> presented in Section 2.</w:t>
            </w:r>
          </w:p>
        </w:tc>
      </w:tr>
      <w:tr w:rsidR="00E56084" w:rsidRPr="00B40E50" w14:paraId="1F172B3C" w14:textId="77777777" w:rsidTr="008F2659">
        <w:trPr>
          <w:cantSplit/>
        </w:trPr>
        <w:tc>
          <w:tcPr>
            <w:tcW w:w="2430" w:type="dxa"/>
          </w:tcPr>
          <w:p w14:paraId="6BFEF0DF" w14:textId="77777777" w:rsidR="00E56084" w:rsidRPr="002C7BD9" w:rsidRDefault="00E56084" w:rsidP="00E56084">
            <w:pPr>
              <w:pStyle w:val="BodyText"/>
              <w:spacing w:line="240" w:lineRule="auto"/>
              <w:jc w:val="left"/>
              <w:rPr>
                <w:b/>
                <w:bCs/>
                <w:sz w:val="20"/>
                <w:szCs w:val="20"/>
              </w:rPr>
            </w:pPr>
            <w:r w:rsidRPr="002C7BD9">
              <w:rPr>
                <w:b/>
                <w:bCs/>
                <w:sz w:val="20"/>
                <w:szCs w:val="20"/>
              </w:rPr>
              <w:lastRenderedPageBreak/>
              <w:t>ldpoloni</w:t>
            </w:r>
            <w:r>
              <w:rPr>
                <w:b/>
                <w:bCs/>
                <w:sz w:val="20"/>
                <w:szCs w:val="20"/>
              </w:rPr>
              <w:t>, page 16</w:t>
            </w:r>
          </w:p>
          <w:p w14:paraId="2E6B8303" w14:textId="77777777" w:rsidR="00E56084" w:rsidRPr="002C7BD9" w:rsidRDefault="00E56084" w:rsidP="005E6960">
            <w:pPr>
              <w:pStyle w:val="BodyText"/>
              <w:spacing w:line="240" w:lineRule="auto"/>
              <w:jc w:val="left"/>
              <w:rPr>
                <w:b/>
                <w:bCs/>
                <w:sz w:val="20"/>
                <w:szCs w:val="20"/>
              </w:rPr>
            </w:pPr>
            <w:r>
              <w:rPr>
                <w:b/>
                <w:bCs/>
                <w:sz w:val="20"/>
                <w:szCs w:val="20"/>
              </w:rPr>
              <w:t>07/11</w:t>
            </w:r>
            <w:r w:rsidRPr="002C7BD9">
              <w:rPr>
                <w:b/>
                <w:bCs/>
                <w:sz w:val="20"/>
                <w:szCs w:val="20"/>
              </w:rPr>
              <w:t xml:space="preserve">/2014 </w:t>
            </w:r>
            <w:r>
              <w:rPr>
                <w:b/>
                <w:bCs/>
                <w:sz w:val="20"/>
                <w:szCs w:val="20"/>
              </w:rPr>
              <w:t>12:48:</w:t>
            </w:r>
            <w:r w:rsidR="005E6960">
              <w:rPr>
                <w:b/>
                <w:bCs/>
                <w:sz w:val="20"/>
                <w:szCs w:val="20"/>
              </w:rPr>
              <w:t>43</w:t>
            </w:r>
            <w:r>
              <w:rPr>
                <w:b/>
                <w:bCs/>
                <w:sz w:val="20"/>
                <w:szCs w:val="20"/>
              </w:rPr>
              <w:t xml:space="preserve"> PM</w:t>
            </w:r>
          </w:p>
        </w:tc>
        <w:tc>
          <w:tcPr>
            <w:tcW w:w="5310" w:type="dxa"/>
          </w:tcPr>
          <w:p w14:paraId="6D8DE86C" w14:textId="77777777" w:rsidR="005E6960" w:rsidRPr="005E6960" w:rsidRDefault="005E6960" w:rsidP="005E6960">
            <w:pPr>
              <w:pStyle w:val="BodyText"/>
              <w:spacing w:line="240" w:lineRule="auto"/>
              <w:jc w:val="left"/>
              <w:rPr>
                <w:sz w:val="20"/>
                <w:szCs w:val="20"/>
              </w:rPr>
            </w:pPr>
            <w:r w:rsidRPr="005E6960">
              <w:rPr>
                <w:sz w:val="20"/>
                <w:szCs w:val="20"/>
              </w:rPr>
              <w:t>(AANDC)</w:t>
            </w:r>
          </w:p>
          <w:p w14:paraId="781A6B5F" w14:textId="77777777" w:rsidR="00E56084" w:rsidRPr="00B40E50" w:rsidRDefault="005E6960" w:rsidP="005E6960">
            <w:pPr>
              <w:pStyle w:val="BodyText"/>
              <w:numPr>
                <w:ilvl w:val="0"/>
                <w:numId w:val="31"/>
              </w:numPr>
              <w:spacing w:line="240" w:lineRule="auto"/>
              <w:ind w:left="360"/>
              <w:jc w:val="left"/>
              <w:rPr>
                <w:sz w:val="20"/>
                <w:szCs w:val="20"/>
              </w:rPr>
            </w:pPr>
            <w:r>
              <w:rPr>
                <w:sz w:val="20"/>
                <w:szCs w:val="20"/>
              </w:rPr>
              <w:t>Insert column between Characteriz</w:t>
            </w:r>
            <w:r w:rsidRPr="005E6960">
              <w:rPr>
                <w:sz w:val="20"/>
                <w:szCs w:val="20"/>
              </w:rPr>
              <w:t>ation of Phase 1 Assumptions and Potential Range of Assumption Adjustments named, "Lorax/AECOM Assumptions</w:t>
            </w:r>
            <w:r w:rsidR="00966193">
              <w:rPr>
                <w:sz w:val="20"/>
                <w:szCs w:val="20"/>
              </w:rPr>
              <w:t>.</w:t>
            </w:r>
          </w:p>
        </w:tc>
        <w:tc>
          <w:tcPr>
            <w:tcW w:w="5310" w:type="dxa"/>
          </w:tcPr>
          <w:p w14:paraId="28960A55" w14:textId="77777777" w:rsidR="00E56084" w:rsidRPr="00B40E50" w:rsidRDefault="0030304A" w:rsidP="0030304A">
            <w:pPr>
              <w:pStyle w:val="BodyText"/>
              <w:numPr>
                <w:ilvl w:val="0"/>
                <w:numId w:val="31"/>
              </w:numPr>
              <w:spacing w:line="240" w:lineRule="auto"/>
              <w:ind w:left="360"/>
              <w:jc w:val="left"/>
              <w:rPr>
                <w:sz w:val="20"/>
                <w:szCs w:val="20"/>
              </w:rPr>
            </w:pPr>
            <w:r>
              <w:rPr>
                <w:sz w:val="20"/>
                <w:szCs w:val="20"/>
              </w:rPr>
              <w:t>See above.</w:t>
            </w:r>
          </w:p>
        </w:tc>
      </w:tr>
      <w:tr w:rsidR="005E6960" w:rsidRPr="00B40E50" w14:paraId="617E80F2" w14:textId="77777777" w:rsidTr="008F2659">
        <w:trPr>
          <w:cantSplit/>
        </w:trPr>
        <w:tc>
          <w:tcPr>
            <w:tcW w:w="2430" w:type="dxa"/>
          </w:tcPr>
          <w:p w14:paraId="56E253CB" w14:textId="77777777" w:rsidR="005E6960" w:rsidRPr="002C7BD9" w:rsidRDefault="005E6960" w:rsidP="005E6960">
            <w:pPr>
              <w:pStyle w:val="BodyText"/>
              <w:spacing w:line="240" w:lineRule="auto"/>
              <w:jc w:val="left"/>
              <w:rPr>
                <w:b/>
                <w:bCs/>
                <w:sz w:val="20"/>
                <w:szCs w:val="20"/>
              </w:rPr>
            </w:pPr>
            <w:r w:rsidRPr="002C7BD9">
              <w:rPr>
                <w:b/>
                <w:bCs/>
                <w:sz w:val="20"/>
                <w:szCs w:val="20"/>
              </w:rPr>
              <w:t>ldpoloni</w:t>
            </w:r>
            <w:r>
              <w:rPr>
                <w:b/>
                <w:bCs/>
                <w:sz w:val="20"/>
                <w:szCs w:val="20"/>
              </w:rPr>
              <w:t>, page 16</w:t>
            </w:r>
          </w:p>
          <w:p w14:paraId="43B57906" w14:textId="77777777" w:rsidR="005E6960" w:rsidRPr="002C7BD9" w:rsidRDefault="005E6960" w:rsidP="005E6960">
            <w:pPr>
              <w:pStyle w:val="BodyText"/>
              <w:spacing w:line="240" w:lineRule="auto"/>
              <w:jc w:val="left"/>
              <w:rPr>
                <w:b/>
                <w:bCs/>
                <w:sz w:val="20"/>
                <w:szCs w:val="20"/>
              </w:rPr>
            </w:pPr>
            <w:r>
              <w:rPr>
                <w:b/>
                <w:bCs/>
                <w:sz w:val="20"/>
                <w:szCs w:val="20"/>
              </w:rPr>
              <w:t>10/11</w:t>
            </w:r>
            <w:r w:rsidRPr="002C7BD9">
              <w:rPr>
                <w:b/>
                <w:bCs/>
                <w:sz w:val="20"/>
                <w:szCs w:val="20"/>
              </w:rPr>
              <w:t xml:space="preserve">/2014 </w:t>
            </w:r>
            <w:r>
              <w:rPr>
                <w:b/>
                <w:bCs/>
                <w:sz w:val="20"/>
                <w:szCs w:val="20"/>
              </w:rPr>
              <w:t>4:08:27 PM</w:t>
            </w:r>
          </w:p>
        </w:tc>
        <w:tc>
          <w:tcPr>
            <w:tcW w:w="5310" w:type="dxa"/>
          </w:tcPr>
          <w:p w14:paraId="23F0B2B3" w14:textId="77777777" w:rsidR="005E6960" w:rsidRPr="005E6960" w:rsidRDefault="005E6960" w:rsidP="005E6960">
            <w:pPr>
              <w:pStyle w:val="BodyText"/>
              <w:spacing w:line="240" w:lineRule="auto"/>
              <w:jc w:val="left"/>
              <w:rPr>
                <w:sz w:val="20"/>
                <w:szCs w:val="20"/>
              </w:rPr>
            </w:pPr>
            <w:r w:rsidRPr="005E6960">
              <w:rPr>
                <w:sz w:val="20"/>
                <w:szCs w:val="20"/>
              </w:rPr>
              <w:t>(AANDC)</w:t>
            </w:r>
          </w:p>
          <w:p w14:paraId="6404367F" w14:textId="77777777" w:rsidR="005E6960" w:rsidRPr="005E6960" w:rsidRDefault="005E6960" w:rsidP="005E6960">
            <w:pPr>
              <w:pStyle w:val="BodyText"/>
              <w:numPr>
                <w:ilvl w:val="0"/>
                <w:numId w:val="31"/>
              </w:numPr>
              <w:spacing w:line="240" w:lineRule="auto"/>
              <w:ind w:left="360"/>
              <w:jc w:val="left"/>
              <w:rPr>
                <w:sz w:val="20"/>
                <w:szCs w:val="20"/>
              </w:rPr>
            </w:pPr>
            <w:r w:rsidRPr="005E6960">
              <w:rPr>
                <w:sz w:val="20"/>
                <w:szCs w:val="20"/>
              </w:rPr>
              <w:t>This has changed from pre-phase 1 – Lorax repo</w:t>
            </w:r>
            <w:r>
              <w:rPr>
                <w:sz w:val="20"/>
                <w:szCs w:val="20"/>
              </w:rPr>
              <w:t xml:space="preserve">rts assumes no PAG waste rock. </w:t>
            </w:r>
            <w:r w:rsidRPr="005E6960">
              <w:rPr>
                <w:sz w:val="20"/>
                <w:szCs w:val="20"/>
              </w:rPr>
              <w:t>Does PAG have to go to the pit?</w:t>
            </w:r>
          </w:p>
          <w:p w14:paraId="10AB8C31" w14:textId="77777777" w:rsidR="005E6960" w:rsidRPr="005E6960" w:rsidRDefault="005E6960" w:rsidP="005E6960">
            <w:pPr>
              <w:pStyle w:val="BodyText"/>
              <w:spacing w:line="240" w:lineRule="auto"/>
              <w:jc w:val="left"/>
              <w:rPr>
                <w:sz w:val="20"/>
                <w:szCs w:val="20"/>
              </w:rPr>
            </w:pPr>
            <w:r w:rsidRPr="005E6960">
              <w:rPr>
                <w:sz w:val="20"/>
                <w:szCs w:val="20"/>
              </w:rPr>
              <w:t>(AAM)</w:t>
            </w:r>
          </w:p>
          <w:p w14:paraId="202DF66A" w14:textId="77777777" w:rsidR="005E6960" w:rsidRPr="00821C2C" w:rsidRDefault="005E6960" w:rsidP="005E6960">
            <w:pPr>
              <w:pStyle w:val="BodyText"/>
              <w:numPr>
                <w:ilvl w:val="0"/>
                <w:numId w:val="31"/>
              </w:numPr>
              <w:spacing w:line="240" w:lineRule="auto"/>
              <w:ind w:left="360"/>
              <w:jc w:val="left"/>
              <w:rPr>
                <w:sz w:val="20"/>
                <w:szCs w:val="20"/>
              </w:rPr>
            </w:pPr>
            <w:r>
              <w:rPr>
                <w:sz w:val="20"/>
                <w:szCs w:val="20"/>
              </w:rPr>
              <w:t>W</w:t>
            </w:r>
            <w:r w:rsidRPr="005E6960">
              <w:rPr>
                <w:sz w:val="20"/>
                <w:szCs w:val="20"/>
              </w:rPr>
              <w:t>hy was this change in assumption made (additional SI, historical data)?</w:t>
            </w:r>
          </w:p>
        </w:tc>
        <w:tc>
          <w:tcPr>
            <w:tcW w:w="5310" w:type="dxa"/>
          </w:tcPr>
          <w:p w14:paraId="1E530658" w14:textId="77777777" w:rsidR="005E6960" w:rsidRDefault="0030304A" w:rsidP="0030304A">
            <w:pPr>
              <w:pStyle w:val="BodyText"/>
              <w:numPr>
                <w:ilvl w:val="0"/>
                <w:numId w:val="31"/>
              </w:numPr>
              <w:spacing w:line="240" w:lineRule="auto"/>
              <w:ind w:left="360"/>
              <w:jc w:val="left"/>
              <w:rPr>
                <w:sz w:val="20"/>
                <w:szCs w:val="20"/>
              </w:rPr>
            </w:pPr>
            <w:r>
              <w:rPr>
                <w:sz w:val="20"/>
                <w:szCs w:val="20"/>
              </w:rPr>
              <w:t>The surface water quality modelling in Phase 1 assumed that the higher contaminant source potentials associated with PAG rock would be mitigated by placing these materials within the Open Pit containment structure. The Phase 1 tailings relocation methodology also relies on mixing rock and tailings. It makes sense to preferentially use PAG for this mixing because of the containment benefits offered by relocation to the pit.</w:t>
            </w:r>
          </w:p>
          <w:p w14:paraId="72271C88" w14:textId="77777777" w:rsidR="0030304A" w:rsidRPr="00B40E50" w:rsidRDefault="0030304A" w:rsidP="00150E16">
            <w:pPr>
              <w:pStyle w:val="BodyText"/>
              <w:numPr>
                <w:ilvl w:val="0"/>
                <w:numId w:val="31"/>
              </w:numPr>
              <w:spacing w:line="240" w:lineRule="auto"/>
              <w:ind w:left="360"/>
              <w:jc w:val="left"/>
              <w:rPr>
                <w:sz w:val="20"/>
                <w:szCs w:val="20"/>
              </w:rPr>
            </w:pPr>
            <w:r>
              <w:rPr>
                <w:sz w:val="20"/>
                <w:szCs w:val="20"/>
              </w:rPr>
              <w:t>There might be some economies available by leaving the relatively small proportion of the PAG inventory not required for mixing undisturbed, provided that supplementary water quality modelling demonstrates that these exposed PAG materials will not produce unacceptable degradation</w:t>
            </w:r>
            <w:r w:rsidR="00150E16">
              <w:rPr>
                <w:sz w:val="20"/>
                <w:szCs w:val="20"/>
              </w:rPr>
              <w:t>s</w:t>
            </w:r>
            <w:r>
              <w:rPr>
                <w:sz w:val="20"/>
                <w:szCs w:val="20"/>
              </w:rPr>
              <w:t xml:space="preserve"> in water quality.</w:t>
            </w:r>
          </w:p>
        </w:tc>
      </w:tr>
      <w:tr w:rsidR="005E6960" w:rsidRPr="00B40E50" w14:paraId="36634844" w14:textId="77777777" w:rsidTr="008F2659">
        <w:trPr>
          <w:cantSplit/>
        </w:trPr>
        <w:tc>
          <w:tcPr>
            <w:tcW w:w="2430" w:type="dxa"/>
          </w:tcPr>
          <w:p w14:paraId="4D25A159" w14:textId="77777777" w:rsidR="005E6960" w:rsidRPr="002C7BD9" w:rsidRDefault="005E6960" w:rsidP="005E6960">
            <w:pPr>
              <w:pStyle w:val="BodyText"/>
              <w:spacing w:line="240" w:lineRule="auto"/>
              <w:jc w:val="left"/>
              <w:rPr>
                <w:b/>
                <w:bCs/>
                <w:sz w:val="20"/>
                <w:szCs w:val="20"/>
              </w:rPr>
            </w:pPr>
            <w:r w:rsidRPr="002C7BD9">
              <w:rPr>
                <w:b/>
                <w:bCs/>
                <w:sz w:val="20"/>
                <w:szCs w:val="20"/>
              </w:rPr>
              <w:t>ldpoloni</w:t>
            </w:r>
            <w:r>
              <w:rPr>
                <w:b/>
                <w:bCs/>
                <w:sz w:val="20"/>
                <w:szCs w:val="20"/>
              </w:rPr>
              <w:t>, page 16</w:t>
            </w:r>
          </w:p>
          <w:p w14:paraId="37ABC094" w14:textId="77777777" w:rsidR="005E6960" w:rsidRPr="002C7BD9" w:rsidRDefault="005E6960" w:rsidP="005E6960">
            <w:pPr>
              <w:pStyle w:val="BodyText"/>
              <w:spacing w:line="240" w:lineRule="auto"/>
              <w:jc w:val="left"/>
              <w:rPr>
                <w:b/>
                <w:bCs/>
                <w:sz w:val="20"/>
                <w:szCs w:val="20"/>
              </w:rPr>
            </w:pPr>
            <w:r>
              <w:rPr>
                <w:b/>
                <w:bCs/>
                <w:sz w:val="20"/>
                <w:szCs w:val="20"/>
              </w:rPr>
              <w:t>10/11</w:t>
            </w:r>
            <w:r w:rsidRPr="002C7BD9">
              <w:rPr>
                <w:b/>
                <w:bCs/>
                <w:sz w:val="20"/>
                <w:szCs w:val="20"/>
              </w:rPr>
              <w:t xml:space="preserve">/2014 </w:t>
            </w:r>
            <w:r>
              <w:rPr>
                <w:b/>
                <w:bCs/>
                <w:sz w:val="20"/>
                <w:szCs w:val="20"/>
              </w:rPr>
              <w:t>4:09:05 PM</w:t>
            </w:r>
          </w:p>
        </w:tc>
        <w:tc>
          <w:tcPr>
            <w:tcW w:w="5310" w:type="dxa"/>
          </w:tcPr>
          <w:p w14:paraId="5307C129" w14:textId="77777777" w:rsidR="005E6960" w:rsidRPr="005E6960" w:rsidRDefault="005E6960" w:rsidP="005E6960">
            <w:pPr>
              <w:pStyle w:val="BodyText"/>
              <w:spacing w:line="240" w:lineRule="auto"/>
              <w:jc w:val="left"/>
              <w:rPr>
                <w:sz w:val="20"/>
                <w:szCs w:val="20"/>
              </w:rPr>
            </w:pPr>
            <w:r w:rsidRPr="005E6960">
              <w:rPr>
                <w:sz w:val="20"/>
                <w:szCs w:val="20"/>
              </w:rPr>
              <w:t>(AAM)</w:t>
            </w:r>
          </w:p>
          <w:p w14:paraId="6B8A221A" w14:textId="77777777" w:rsidR="005E6960" w:rsidRPr="00821C2C" w:rsidRDefault="005E6960" w:rsidP="005E6960">
            <w:pPr>
              <w:pStyle w:val="BodyText"/>
              <w:numPr>
                <w:ilvl w:val="0"/>
                <w:numId w:val="31"/>
              </w:numPr>
              <w:spacing w:line="240" w:lineRule="auto"/>
              <w:ind w:left="360"/>
              <w:jc w:val="left"/>
              <w:rPr>
                <w:sz w:val="20"/>
                <w:szCs w:val="20"/>
              </w:rPr>
            </w:pPr>
            <w:r w:rsidRPr="005E6960">
              <w:rPr>
                <w:sz w:val="20"/>
                <w:szCs w:val="20"/>
              </w:rPr>
              <w:t>Will this result in less rock going into the pit, therefore lowering the overall costs?</w:t>
            </w:r>
          </w:p>
        </w:tc>
        <w:tc>
          <w:tcPr>
            <w:tcW w:w="5310" w:type="dxa"/>
          </w:tcPr>
          <w:p w14:paraId="2D4B21FA" w14:textId="77777777" w:rsidR="005E6960" w:rsidRPr="00B40E50" w:rsidRDefault="00875F72" w:rsidP="00150E16">
            <w:pPr>
              <w:pStyle w:val="BodyText"/>
              <w:numPr>
                <w:ilvl w:val="0"/>
                <w:numId w:val="31"/>
              </w:numPr>
              <w:spacing w:line="240" w:lineRule="auto"/>
              <w:ind w:left="360"/>
              <w:jc w:val="left"/>
              <w:rPr>
                <w:sz w:val="20"/>
                <w:szCs w:val="20"/>
              </w:rPr>
            </w:pPr>
            <w:r>
              <w:rPr>
                <w:sz w:val="20"/>
                <w:szCs w:val="20"/>
              </w:rPr>
              <w:t xml:space="preserve">The point of the assumption </w:t>
            </w:r>
            <w:r w:rsidR="00212670">
              <w:rPr>
                <w:sz w:val="20"/>
                <w:szCs w:val="20"/>
              </w:rPr>
              <w:t xml:space="preserve">noted is to minimize the costs of mitigating potential </w:t>
            </w:r>
            <w:r w:rsidR="00150E16">
              <w:rPr>
                <w:sz w:val="20"/>
                <w:szCs w:val="20"/>
              </w:rPr>
              <w:t>PAG rock</w:t>
            </w:r>
            <w:r w:rsidR="00212670">
              <w:rPr>
                <w:sz w:val="20"/>
                <w:szCs w:val="20"/>
              </w:rPr>
              <w:t xml:space="preserve"> water quality impacts by accurately identifying those materials that need to be directed to the pit. Doing so will not reduce the Phase 1 estimate (because it assumed this differentiation could be accurately made based on pre-execution characterization data), but mitigates the risk of cost escalation that would result if uncertain material differentiations had to be </w:t>
            </w:r>
            <w:r w:rsidR="00150E16">
              <w:rPr>
                <w:sz w:val="20"/>
                <w:szCs w:val="20"/>
              </w:rPr>
              <w:t>addressed</w:t>
            </w:r>
            <w:r w:rsidR="00212670">
              <w:rPr>
                <w:sz w:val="20"/>
                <w:szCs w:val="20"/>
              </w:rPr>
              <w:t xml:space="preserve"> by conservatively directing more materials to the pit.</w:t>
            </w:r>
          </w:p>
        </w:tc>
      </w:tr>
      <w:tr w:rsidR="005E6960" w:rsidRPr="00B40E50" w14:paraId="1198C281" w14:textId="77777777" w:rsidTr="008F2659">
        <w:tc>
          <w:tcPr>
            <w:tcW w:w="2430" w:type="dxa"/>
          </w:tcPr>
          <w:p w14:paraId="19D82761" w14:textId="77777777" w:rsidR="005E6960" w:rsidRPr="002C7BD9" w:rsidRDefault="005E6960" w:rsidP="005E6960">
            <w:pPr>
              <w:pStyle w:val="BodyText"/>
              <w:spacing w:line="240" w:lineRule="auto"/>
              <w:jc w:val="left"/>
              <w:rPr>
                <w:b/>
                <w:bCs/>
                <w:sz w:val="20"/>
                <w:szCs w:val="20"/>
              </w:rPr>
            </w:pPr>
            <w:r w:rsidRPr="002C7BD9">
              <w:rPr>
                <w:b/>
                <w:bCs/>
                <w:sz w:val="20"/>
                <w:szCs w:val="20"/>
              </w:rPr>
              <w:t>ldpoloni</w:t>
            </w:r>
            <w:r>
              <w:rPr>
                <w:b/>
                <w:bCs/>
                <w:sz w:val="20"/>
                <w:szCs w:val="20"/>
              </w:rPr>
              <w:t>, page 17</w:t>
            </w:r>
          </w:p>
          <w:p w14:paraId="146B8371" w14:textId="77777777" w:rsidR="005E6960" w:rsidRPr="002C7BD9" w:rsidRDefault="005E6960" w:rsidP="005E6960">
            <w:pPr>
              <w:pStyle w:val="BodyText"/>
              <w:spacing w:line="240" w:lineRule="auto"/>
              <w:jc w:val="left"/>
              <w:rPr>
                <w:b/>
                <w:bCs/>
                <w:sz w:val="20"/>
                <w:szCs w:val="20"/>
              </w:rPr>
            </w:pPr>
            <w:r>
              <w:rPr>
                <w:b/>
                <w:bCs/>
                <w:sz w:val="20"/>
                <w:szCs w:val="20"/>
              </w:rPr>
              <w:t>07/11</w:t>
            </w:r>
            <w:r w:rsidRPr="002C7BD9">
              <w:rPr>
                <w:b/>
                <w:bCs/>
                <w:sz w:val="20"/>
                <w:szCs w:val="20"/>
              </w:rPr>
              <w:t xml:space="preserve">/2014 </w:t>
            </w:r>
            <w:r>
              <w:rPr>
                <w:b/>
                <w:bCs/>
                <w:sz w:val="20"/>
                <w:szCs w:val="20"/>
              </w:rPr>
              <w:t>12:49:06 PM</w:t>
            </w:r>
          </w:p>
        </w:tc>
        <w:tc>
          <w:tcPr>
            <w:tcW w:w="5310" w:type="dxa"/>
          </w:tcPr>
          <w:p w14:paraId="7B9E394C" w14:textId="77777777" w:rsidR="005E6960" w:rsidRPr="005E6960" w:rsidRDefault="005E6960" w:rsidP="005E6960">
            <w:pPr>
              <w:pStyle w:val="BodyText"/>
              <w:spacing w:line="240" w:lineRule="auto"/>
              <w:jc w:val="left"/>
              <w:rPr>
                <w:sz w:val="20"/>
                <w:szCs w:val="20"/>
              </w:rPr>
            </w:pPr>
            <w:r w:rsidRPr="005E6960">
              <w:rPr>
                <w:sz w:val="20"/>
                <w:szCs w:val="20"/>
              </w:rPr>
              <w:t>(AANDC)</w:t>
            </w:r>
          </w:p>
          <w:p w14:paraId="0009221B" w14:textId="77777777" w:rsidR="005E6960" w:rsidRPr="00821C2C" w:rsidRDefault="005E6960" w:rsidP="005E6960">
            <w:pPr>
              <w:pStyle w:val="BodyText"/>
              <w:numPr>
                <w:ilvl w:val="0"/>
                <w:numId w:val="31"/>
              </w:numPr>
              <w:spacing w:line="240" w:lineRule="auto"/>
              <w:ind w:left="360"/>
              <w:jc w:val="left"/>
              <w:rPr>
                <w:sz w:val="20"/>
                <w:szCs w:val="20"/>
              </w:rPr>
            </w:pPr>
            <w:r w:rsidRPr="005E6960">
              <w:rPr>
                <w:sz w:val="20"/>
                <w:szCs w:val="20"/>
              </w:rPr>
              <w:t>What are the required/assumed/targe in place characteristics of the tailings?</w:t>
            </w:r>
          </w:p>
        </w:tc>
        <w:tc>
          <w:tcPr>
            <w:tcW w:w="5310" w:type="dxa"/>
          </w:tcPr>
          <w:p w14:paraId="796E2545" w14:textId="77777777" w:rsidR="00356AE7" w:rsidRPr="00B40E50" w:rsidRDefault="00887955" w:rsidP="00316CE3">
            <w:pPr>
              <w:pStyle w:val="BodyText"/>
              <w:numPr>
                <w:ilvl w:val="0"/>
                <w:numId w:val="31"/>
              </w:numPr>
              <w:spacing w:line="240" w:lineRule="auto"/>
              <w:ind w:left="360"/>
              <w:jc w:val="left"/>
              <w:rPr>
                <w:sz w:val="20"/>
                <w:szCs w:val="20"/>
              </w:rPr>
            </w:pPr>
            <w:r>
              <w:rPr>
                <w:sz w:val="20"/>
                <w:szCs w:val="20"/>
              </w:rPr>
              <w:t xml:space="preserve">The target performance characteristics of placed tailings are those consistent with the development and maintenance of a stable pit cover and surface over reasonable timelines (i.e., the “Stable Surfaces” Driving Criteria in new report Section </w:t>
            </w:r>
            <w:r w:rsidR="00316CE3">
              <w:rPr>
                <w:sz w:val="20"/>
                <w:szCs w:val="20"/>
              </w:rPr>
              <w:t>2.3</w:t>
            </w:r>
            <w:r>
              <w:rPr>
                <w:sz w:val="20"/>
                <w:szCs w:val="20"/>
              </w:rPr>
              <w:t xml:space="preserve">). This target </w:t>
            </w:r>
            <w:r>
              <w:rPr>
                <w:sz w:val="20"/>
                <w:szCs w:val="20"/>
              </w:rPr>
              <w:lastRenderedPageBreak/>
              <w:t>performance does not take the form of a specific compaction or moisture specification because of the difficulty of drawing reliable connections between these kinds of specifications, cover outcomes and execution method requirements. Instead, professional judgements have been applied to conclude that the assumed execution methods are likely to provide tailings characteristics generally consistent with the prescribed Driving Criteria.</w:t>
            </w:r>
            <w:r w:rsidR="00150E16">
              <w:rPr>
                <w:sz w:val="20"/>
                <w:szCs w:val="20"/>
              </w:rPr>
              <w:t xml:space="preserve"> </w:t>
            </w:r>
            <w:r w:rsidR="00356AE7">
              <w:rPr>
                <w:sz w:val="20"/>
                <w:szCs w:val="20"/>
              </w:rPr>
              <w:t>In short, we have developed a method specification, recognizing that the quantitative performance outcomes, while practically indeterminate at this stage of project development, are likely to be acceptable.</w:t>
            </w:r>
          </w:p>
        </w:tc>
      </w:tr>
      <w:tr w:rsidR="005E6960" w:rsidRPr="00B40E50" w14:paraId="1291F1F4" w14:textId="77777777" w:rsidTr="008F2659">
        <w:tc>
          <w:tcPr>
            <w:tcW w:w="2430" w:type="dxa"/>
          </w:tcPr>
          <w:p w14:paraId="2C6A887C" w14:textId="77777777" w:rsidR="005E6960" w:rsidRPr="002C7BD9" w:rsidRDefault="005E6960" w:rsidP="005E6960">
            <w:pPr>
              <w:pStyle w:val="BodyText"/>
              <w:spacing w:line="240" w:lineRule="auto"/>
              <w:jc w:val="left"/>
              <w:rPr>
                <w:b/>
                <w:bCs/>
                <w:sz w:val="20"/>
                <w:szCs w:val="20"/>
              </w:rPr>
            </w:pPr>
            <w:r w:rsidRPr="002C7BD9">
              <w:rPr>
                <w:b/>
                <w:bCs/>
                <w:sz w:val="20"/>
                <w:szCs w:val="20"/>
              </w:rPr>
              <w:lastRenderedPageBreak/>
              <w:t>ldpoloni</w:t>
            </w:r>
            <w:r>
              <w:rPr>
                <w:b/>
                <w:bCs/>
                <w:sz w:val="20"/>
                <w:szCs w:val="20"/>
              </w:rPr>
              <w:t>, page 17</w:t>
            </w:r>
          </w:p>
          <w:p w14:paraId="0E02CAAD" w14:textId="77777777" w:rsidR="005E6960" w:rsidRPr="002C7BD9" w:rsidRDefault="005E6960" w:rsidP="005E6960">
            <w:pPr>
              <w:pStyle w:val="BodyText"/>
              <w:spacing w:line="240" w:lineRule="auto"/>
              <w:jc w:val="left"/>
              <w:rPr>
                <w:b/>
                <w:bCs/>
                <w:sz w:val="20"/>
                <w:szCs w:val="20"/>
              </w:rPr>
            </w:pPr>
            <w:r>
              <w:rPr>
                <w:b/>
                <w:bCs/>
                <w:sz w:val="20"/>
                <w:szCs w:val="20"/>
              </w:rPr>
              <w:t>10/11</w:t>
            </w:r>
            <w:r w:rsidRPr="002C7BD9">
              <w:rPr>
                <w:b/>
                <w:bCs/>
                <w:sz w:val="20"/>
                <w:szCs w:val="20"/>
              </w:rPr>
              <w:t xml:space="preserve">/2014 </w:t>
            </w:r>
            <w:r>
              <w:rPr>
                <w:b/>
                <w:bCs/>
                <w:sz w:val="20"/>
                <w:szCs w:val="20"/>
              </w:rPr>
              <w:t>4:17:57 PM</w:t>
            </w:r>
          </w:p>
        </w:tc>
        <w:tc>
          <w:tcPr>
            <w:tcW w:w="5310" w:type="dxa"/>
          </w:tcPr>
          <w:p w14:paraId="1C260938" w14:textId="77777777" w:rsidR="005E6960" w:rsidRPr="005E6960" w:rsidRDefault="005E6960" w:rsidP="005E6960">
            <w:pPr>
              <w:pStyle w:val="BodyText"/>
              <w:spacing w:line="240" w:lineRule="auto"/>
              <w:jc w:val="left"/>
              <w:rPr>
                <w:sz w:val="20"/>
                <w:szCs w:val="20"/>
              </w:rPr>
            </w:pPr>
            <w:r w:rsidRPr="005E6960">
              <w:rPr>
                <w:sz w:val="20"/>
                <w:szCs w:val="20"/>
              </w:rPr>
              <w:t>(AANDC)</w:t>
            </w:r>
          </w:p>
          <w:p w14:paraId="7A3C6FEC" w14:textId="77777777" w:rsidR="005E6960" w:rsidRPr="005015A3" w:rsidRDefault="005E6960" w:rsidP="005E6960">
            <w:pPr>
              <w:pStyle w:val="BodyText"/>
              <w:numPr>
                <w:ilvl w:val="0"/>
                <w:numId w:val="31"/>
              </w:numPr>
              <w:spacing w:line="240" w:lineRule="auto"/>
              <w:ind w:left="360"/>
              <w:jc w:val="left"/>
              <w:rPr>
                <w:sz w:val="20"/>
                <w:szCs w:val="20"/>
              </w:rPr>
            </w:pPr>
            <w:r w:rsidRPr="005E6960">
              <w:rPr>
                <w:sz w:val="20"/>
                <w:szCs w:val="20"/>
              </w:rPr>
              <w:t>But how would this affect the other design assumptions (e.g.</w:t>
            </w:r>
            <w:r w:rsidR="00823949">
              <w:rPr>
                <w:sz w:val="20"/>
                <w:szCs w:val="20"/>
              </w:rPr>
              <w:t>,</w:t>
            </w:r>
            <w:r w:rsidRPr="005E6960">
              <w:rPr>
                <w:sz w:val="20"/>
                <w:szCs w:val="20"/>
              </w:rPr>
              <w:t xml:space="preserve"> degree of settlement, water quality, pit cover, waste rock placement, etc...)?</w:t>
            </w:r>
          </w:p>
        </w:tc>
        <w:tc>
          <w:tcPr>
            <w:tcW w:w="5310" w:type="dxa"/>
          </w:tcPr>
          <w:p w14:paraId="7B9EB4FB" w14:textId="77777777" w:rsidR="005E6960" w:rsidRPr="00B40E50" w:rsidRDefault="00B65D64" w:rsidP="00150E16">
            <w:pPr>
              <w:pStyle w:val="BodyText"/>
              <w:numPr>
                <w:ilvl w:val="0"/>
                <w:numId w:val="31"/>
              </w:numPr>
              <w:spacing w:line="240" w:lineRule="auto"/>
              <w:ind w:left="360"/>
              <w:jc w:val="left"/>
              <w:rPr>
                <w:sz w:val="20"/>
                <w:szCs w:val="20"/>
              </w:rPr>
            </w:pPr>
            <w:r>
              <w:rPr>
                <w:sz w:val="20"/>
                <w:szCs w:val="20"/>
              </w:rPr>
              <w:t>This would depend upon the performance outcomes specified for, and applied to, the procurement process. One approach would be to specify outcomes similar to those assumed for the current estimate (e.g., ones that provide stable surfaces over reasonable timelines) with the expectation that whatever methods the contractor proposes, the key performance outcomes are likely to be consistent with those predicted. Alternately, the procurement strategy could be structured with a minimum of constraints (with a view towards identifying a lower bound cost</w:t>
            </w:r>
            <w:r w:rsidR="00150E16">
              <w:rPr>
                <w:sz w:val="20"/>
                <w:szCs w:val="20"/>
              </w:rPr>
              <w:t>)</w:t>
            </w:r>
            <w:r>
              <w:rPr>
                <w:sz w:val="20"/>
                <w:szCs w:val="20"/>
              </w:rPr>
              <w:t>, followed by a post procurement assessment of the likely impacts of proposed execution methods on the Driving Project Criteria.</w:t>
            </w:r>
          </w:p>
        </w:tc>
      </w:tr>
      <w:tr w:rsidR="006215F7" w:rsidRPr="00B40E50" w14:paraId="659EA7E4" w14:textId="77777777" w:rsidTr="008F2659">
        <w:trPr>
          <w:cantSplit/>
        </w:trPr>
        <w:tc>
          <w:tcPr>
            <w:tcW w:w="2430" w:type="dxa"/>
          </w:tcPr>
          <w:p w14:paraId="03FBDF5B" w14:textId="77777777" w:rsidR="006215F7" w:rsidRPr="002C7BD9" w:rsidRDefault="006215F7" w:rsidP="006215F7">
            <w:pPr>
              <w:pStyle w:val="BodyText"/>
              <w:spacing w:line="240" w:lineRule="auto"/>
              <w:jc w:val="left"/>
              <w:rPr>
                <w:b/>
                <w:bCs/>
                <w:sz w:val="20"/>
                <w:szCs w:val="20"/>
              </w:rPr>
            </w:pPr>
            <w:r w:rsidRPr="002C7BD9">
              <w:rPr>
                <w:b/>
                <w:bCs/>
                <w:sz w:val="20"/>
                <w:szCs w:val="20"/>
              </w:rPr>
              <w:t>ldpoloni</w:t>
            </w:r>
            <w:r>
              <w:rPr>
                <w:b/>
                <w:bCs/>
                <w:sz w:val="20"/>
                <w:szCs w:val="20"/>
              </w:rPr>
              <w:t>, page 17</w:t>
            </w:r>
          </w:p>
          <w:p w14:paraId="70B464FF" w14:textId="77777777" w:rsidR="006215F7" w:rsidRPr="002C7BD9" w:rsidRDefault="006215F7" w:rsidP="006215F7">
            <w:pPr>
              <w:pStyle w:val="BodyText"/>
              <w:spacing w:line="240" w:lineRule="auto"/>
              <w:jc w:val="left"/>
              <w:rPr>
                <w:b/>
                <w:bCs/>
                <w:sz w:val="20"/>
                <w:szCs w:val="20"/>
              </w:rPr>
            </w:pPr>
            <w:r>
              <w:rPr>
                <w:b/>
                <w:bCs/>
                <w:sz w:val="20"/>
                <w:szCs w:val="20"/>
              </w:rPr>
              <w:t>10/11</w:t>
            </w:r>
            <w:r w:rsidRPr="002C7BD9">
              <w:rPr>
                <w:b/>
                <w:bCs/>
                <w:sz w:val="20"/>
                <w:szCs w:val="20"/>
              </w:rPr>
              <w:t xml:space="preserve">/2014 </w:t>
            </w:r>
            <w:r>
              <w:rPr>
                <w:b/>
                <w:bCs/>
                <w:sz w:val="20"/>
                <w:szCs w:val="20"/>
              </w:rPr>
              <w:t>4:19:53 PM</w:t>
            </w:r>
          </w:p>
        </w:tc>
        <w:tc>
          <w:tcPr>
            <w:tcW w:w="5310" w:type="dxa"/>
          </w:tcPr>
          <w:p w14:paraId="53937AA7" w14:textId="77777777" w:rsidR="006215F7" w:rsidRPr="006215F7" w:rsidRDefault="006215F7" w:rsidP="006215F7">
            <w:pPr>
              <w:pStyle w:val="BodyText"/>
              <w:spacing w:line="240" w:lineRule="auto"/>
              <w:jc w:val="left"/>
              <w:rPr>
                <w:sz w:val="20"/>
                <w:szCs w:val="20"/>
              </w:rPr>
            </w:pPr>
            <w:r w:rsidRPr="006215F7">
              <w:rPr>
                <w:sz w:val="20"/>
                <w:szCs w:val="20"/>
              </w:rPr>
              <w:t>(AAM)</w:t>
            </w:r>
          </w:p>
          <w:p w14:paraId="5BD547C9" w14:textId="77777777" w:rsidR="006215F7" w:rsidRPr="00525C54" w:rsidRDefault="006215F7" w:rsidP="006215F7">
            <w:pPr>
              <w:pStyle w:val="BodyText"/>
              <w:numPr>
                <w:ilvl w:val="0"/>
                <w:numId w:val="31"/>
              </w:numPr>
              <w:spacing w:line="240" w:lineRule="auto"/>
              <w:ind w:left="360"/>
              <w:jc w:val="left"/>
              <w:rPr>
                <w:sz w:val="20"/>
                <w:szCs w:val="20"/>
              </w:rPr>
            </w:pPr>
            <w:r w:rsidRPr="006215F7">
              <w:rPr>
                <w:sz w:val="20"/>
                <w:szCs w:val="20"/>
              </w:rPr>
              <w:t>Does it also relate (driver) to the placement requirement within the pit (i.e.</w:t>
            </w:r>
            <w:r>
              <w:rPr>
                <w:sz w:val="20"/>
                <w:szCs w:val="20"/>
              </w:rPr>
              <w:t>,</w:t>
            </w:r>
            <w:r w:rsidRPr="006215F7">
              <w:rPr>
                <w:sz w:val="20"/>
                <w:szCs w:val="20"/>
              </w:rPr>
              <w:t xml:space="preserve"> to reduce settlement, to be able to place the material, to ensure cover performance)?</w:t>
            </w:r>
          </w:p>
        </w:tc>
        <w:tc>
          <w:tcPr>
            <w:tcW w:w="5310" w:type="dxa"/>
          </w:tcPr>
          <w:p w14:paraId="202FD22C" w14:textId="77777777" w:rsidR="006215F7" w:rsidRPr="00B40E50" w:rsidRDefault="00B65D64" w:rsidP="00B65D64">
            <w:pPr>
              <w:pStyle w:val="BodyText"/>
              <w:numPr>
                <w:ilvl w:val="0"/>
                <w:numId w:val="31"/>
              </w:numPr>
              <w:spacing w:line="240" w:lineRule="auto"/>
              <w:ind w:left="360"/>
              <w:jc w:val="left"/>
              <w:rPr>
                <w:sz w:val="20"/>
                <w:szCs w:val="20"/>
              </w:rPr>
            </w:pPr>
            <w:r>
              <w:rPr>
                <w:sz w:val="20"/>
                <w:szCs w:val="20"/>
              </w:rPr>
              <w:t>Yes, in that the implicit assumption in the Phase 1 estimate is that the degree of dewatering will be sufficient to provide tailings characteristics consistent wit</w:t>
            </w:r>
            <w:r w:rsidR="00150E16">
              <w:rPr>
                <w:sz w:val="20"/>
                <w:szCs w:val="20"/>
              </w:rPr>
              <w:t>h the “Stable Surfaces” criterion</w:t>
            </w:r>
            <w:r>
              <w:rPr>
                <w:sz w:val="20"/>
                <w:szCs w:val="20"/>
              </w:rPr>
              <w:t>. For the reasons noted above, it is difficult at this stage of project development to tran</w:t>
            </w:r>
            <w:r w:rsidR="00150E16">
              <w:rPr>
                <w:sz w:val="20"/>
                <w:szCs w:val="20"/>
              </w:rPr>
              <w:t>slate this into a specific, quant</w:t>
            </w:r>
            <w:r>
              <w:rPr>
                <w:sz w:val="20"/>
                <w:szCs w:val="20"/>
              </w:rPr>
              <w:t>itative prediction of the required efficiency of wellpoint dewatering.</w:t>
            </w:r>
          </w:p>
        </w:tc>
      </w:tr>
      <w:tr w:rsidR="006215F7" w:rsidRPr="00B40E50" w14:paraId="428AFA8C" w14:textId="77777777" w:rsidTr="008F2659">
        <w:trPr>
          <w:cantSplit/>
        </w:trPr>
        <w:tc>
          <w:tcPr>
            <w:tcW w:w="2430" w:type="dxa"/>
          </w:tcPr>
          <w:p w14:paraId="129BC1BA" w14:textId="77777777" w:rsidR="006215F7" w:rsidRPr="002C7BD9" w:rsidRDefault="006215F7" w:rsidP="006215F7">
            <w:pPr>
              <w:pStyle w:val="BodyText"/>
              <w:spacing w:line="240" w:lineRule="auto"/>
              <w:jc w:val="left"/>
              <w:rPr>
                <w:b/>
                <w:bCs/>
                <w:sz w:val="20"/>
                <w:szCs w:val="20"/>
              </w:rPr>
            </w:pPr>
            <w:r w:rsidRPr="002C7BD9">
              <w:rPr>
                <w:b/>
                <w:bCs/>
                <w:sz w:val="20"/>
                <w:szCs w:val="20"/>
              </w:rPr>
              <w:lastRenderedPageBreak/>
              <w:t>ldpoloni</w:t>
            </w:r>
            <w:r>
              <w:rPr>
                <w:b/>
                <w:bCs/>
                <w:sz w:val="20"/>
                <w:szCs w:val="20"/>
              </w:rPr>
              <w:t>, page 18</w:t>
            </w:r>
          </w:p>
          <w:p w14:paraId="7C63C59F" w14:textId="77777777" w:rsidR="006215F7" w:rsidRPr="002C7BD9" w:rsidRDefault="006215F7" w:rsidP="006215F7">
            <w:pPr>
              <w:pStyle w:val="BodyText"/>
              <w:spacing w:line="240" w:lineRule="auto"/>
              <w:jc w:val="left"/>
              <w:rPr>
                <w:b/>
                <w:bCs/>
                <w:sz w:val="20"/>
                <w:szCs w:val="20"/>
              </w:rPr>
            </w:pPr>
            <w:r>
              <w:rPr>
                <w:b/>
                <w:bCs/>
                <w:sz w:val="20"/>
                <w:szCs w:val="20"/>
              </w:rPr>
              <w:t>07/11</w:t>
            </w:r>
            <w:r w:rsidRPr="002C7BD9">
              <w:rPr>
                <w:b/>
                <w:bCs/>
                <w:sz w:val="20"/>
                <w:szCs w:val="20"/>
              </w:rPr>
              <w:t xml:space="preserve">/2014 </w:t>
            </w:r>
            <w:r>
              <w:rPr>
                <w:b/>
                <w:bCs/>
                <w:sz w:val="20"/>
                <w:szCs w:val="20"/>
              </w:rPr>
              <w:t>12:49:29 PM</w:t>
            </w:r>
          </w:p>
        </w:tc>
        <w:tc>
          <w:tcPr>
            <w:tcW w:w="5310" w:type="dxa"/>
          </w:tcPr>
          <w:p w14:paraId="1AA168CA" w14:textId="77777777" w:rsidR="006215F7" w:rsidRPr="006215F7" w:rsidRDefault="006215F7" w:rsidP="006215F7">
            <w:pPr>
              <w:pStyle w:val="BodyText"/>
              <w:spacing w:line="240" w:lineRule="auto"/>
              <w:jc w:val="left"/>
              <w:rPr>
                <w:sz w:val="20"/>
                <w:szCs w:val="20"/>
              </w:rPr>
            </w:pPr>
            <w:r w:rsidRPr="006215F7">
              <w:rPr>
                <w:sz w:val="20"/>
                <w:szCs w:val="20"/>
              </w:rPr>
              <w:t>(AANDC)</w:t>
            </w:r>
          </w:p>
          <w:p w14:paraId="3D3DC2F5" w14:textId="77777777" w:rsidR="006215F7" w:rsidRPr="00525C54" w:rsidRDefault="006215F7" w:rsidP="006215F7">
            <w:pPr>
              <w:pStyle w:val="BodyText"/>
              <w:numPr>
                <w:ilvl w:val="0"/>
                <w:numId w:val="31"/>
              </w:numPr>
              <w:spacing w:line="240" w:lineRule="auto"/>
              <w:ind w:left="360"/>
              <w:jc w:val="left"/>
              <w:rPr>
                <w:sz w:val="20"/>
                <w:szCs w:val="20"/>
              </w:rPr>
            </w:pPr>
            <w:r w:rsidRPr="006215F7">
              <w:rPr>
                <w:sz w:val="20"/>
                <w:szCs w:val="20"/>
              </w:rPr>
              <w:t>What are the requirements of downstream water quality in the end?</w:t>
            </w:r>
          </w:p>
        </w:tc>
        <w:tc>
          <w:tcPr>
            <w:tcW w:w="5310" w:type="dxa"/>
          </w:tcPr>
          <w:p w14:paraId="056D05FA" w14:textId="77777777" w:rsidR="006215F7" w:rsidRPr="00B40E50" w:rsidRDefault="00B65D64" w:rsidP="00B65D64">
            <w:pPr>
              <w:pStyle w:val="BodyText"/>
              <w:numPr>
                <w:ilvl w:val="0"/>
                <w:numId w:val="31"/>
              </w:numPr>
              <w:spacing w:line="240" w:lineRule="auto"/>
              <w:ind w:left="360"/>
              <w:jc w:val="left"/>
              <w:rPr>
                <w:sz w:val="20"/>
                <w:szCs w:val="20"/>
              </w:rPr>
            </w:pPr>
            <w:r>
              <w:rPr>
                <w:sz w:val="20"/>
                <w:szCs w:val="20"/>
              </w:rPr>
              <w:t>Compliance with the agreed upon surface water quality criteria. Additional design development, and Partner consultation</w:t>
            </w:r>
            <w:r w:rsidR="00150E16">
              <w:rPr>
                <w:sz w:val="20"/>
                <w:szCs w:val="20"/>
              </w:rPr>
              <w:t>,</w:t>
            </w:r>
            <w:r>
              <w:rPr>
                <w:sz w:val="20"/>
                <w:szCs w:val="20"/>
              </w:rPr>
              <w:t xml:space="preserve"> was proposed for Phase 2 to identify the specific criteria that would be applied, but the Phase 1 assumption was that they would be CCME surface water quality criteria, or something comparable.</w:t>
            </w:r>
          </w:p>
        </w:tc>
      </w:tr>
      <w:tr w:rsidR="006215F7" w:rsidRPr="00B40E50" w14:paraId="673FD11F" w14:textId="77777777" w:rsidTr="008F2659">
        <w:tc>
          <w:tcPr>
            <w:tcW w:w="2430" w:type="dxa"/>
          </w:tcPr>
          <w:p w14:paraId="68BAA593" w14:textId="77777777" w:rsidR="006215F7" w:rsidRPr="002C7BD9" w:rsidRDefault="006215F7" w:rsidP="006215F7">
            <w:pPr>
              <w:pStyle w:val="BodyText"/>
              <w:spacing w:line="240" w:lineRule="auto"/>
              <w:jc w:val="left"/>
              <w:rPr>
                <w:b/>
                <w:bCs/>
                <w:sz w:val="20"/>
                <w:szCs w:val="20"/>
              </w:rPr>
            </w:pPr>
            <w:r w:rsidRPr="002C7BD9">
              <w:rPr>
                <w:b/>
                <w:bCs/>
                <w:sz w:val="20"/>
                <w:szCs w:val="20"/>
              </w:rPr>
              <w:t>ldpoloni</w:t>
            </w:r>
            <w:r>
              <w:rPr>
                <w:b/>
                <w:bCs/>
                <w:sz w:val="20"/>
                <w:szCs w:val="20"/>
              </w:rPr>
              <w:t>, page 18</w:t>
            </w:r>
          </w:p>
          <w:p w14:paraId="5B6ED4A3" w14:textId="77777777" w:rsidR="006215F7" w:rsidRPr="002C7BD9" w:rsidRDefault="006215F7" w:rsidP="006215F7">
            <w:pPr>
              <w:pStyle w:val="BodyText"/>
              <w:spacing w:line="240" w:lineRule="auto"/>
              <w:jc w:val="left"/>
              <w:rPr>
                <w:b/>
                <w:bCs/>
                <w:sz w:val="20"/>
                <w:szCs w:val="20"/>
              </w:rPr>
            </w:pPr>
            <w:r>
              <w:rPr>
                <w:b/>
                <w:bCs/>
                <w:sz w:val="20"/>
                <w:szCs w:val="20"/>
              </w:rPr>
              <w:t>07/11</w:t>
            </w:r>
            <w:r w:rsidRPr="002C7BD9">
              <w:rPr>
                <w:b/>
                <w:bCs/>
                <w:sz w:val="20"/>
                <w:szCs w:val="20"/>
              </w:rPr>
              <w:t xml:space="preserve">/2014 </w:t>
            </w:r>
            <w:r>
              <w:rPr>
                <w:b/>
                <w:bCs/>
                <w:sz w:val="20"/>
                <w:szCs w:val="20"/>
              </w:rPr>
              <w:t>12:49:35 PM</w:t>
            </w:r>
          </w:p>
        </w:tc>
        <w:tc>
          <w:tcPr>
            <w:tcW w:w="5310" w:type="dxa"/>
          </w:tcPr>
          <w:p w14:paraId="45E0620F" w14:textId="77777777" w:rsidR="006215F7" w:rsidRPr="006215F7" w:rsidRDefault="006215F7" w:rsidP="006215F7">
            <w:pPr>
              <w:pStyle w:val="BodyText"/>
              <w:spacing w:line="240" w:lineRule="auto"/>
              <w:jc w:val="left"/>
              <w:rPr>
                <w:sz w:val="20"/>
                <w:szCs w:val="20"/>
              </w:rPr>
            </w:pPr>
            <w:r w:rsidRPr="006215F7">
              <w:rPr>
                <w:sz w:val="20"/>
                <w:szCs w:val="20"/>
              </w:rPr>
              <w:t>(AANDC)</w:t>
            </w:r>
          </w:p>
          <w:p w14:paraId="4C1EA20E" w14:textId="77777777" w:rsidR="006215F7" w:rsidRPr="00525C54" w:rsidRDefault="006215F7" w:rsidP="006215F7">
            <w:pPr>
              <w:pStyle w:val="BodyText"/>
              <w:numPr>
                <w:ilvl w:val="0"/>
                <w:numId w:val="31"/>
              </w:numPr>
              <w:spacing w:line="240" w:lineRule="auto"/>
              <w:ind w:left="360"/>
              <w:jc w:val="left"/>
              <w:rPr>
                <w:sz w:val="20"/>
                <w:szCs w:val="20"/>
              </w:rPr>
            </w:pPr>
            <w:r w:rsidRPr="006215F7">
              <w:rPr>
                <w:sz w:val="20"/>
                <w:szCs w:val="20"/>
              </w:rPr>
              <w:t>What is in-place requirements of tailings</w:t>
            </w:r>
            <w:r>
              <w:rPr>
                <w:sz w:val="20"/>
                <w:szCs w:val="20"/>
              </w:rPr>
              <w:t>?</w:t>
            </w:r>
          </w:p>
        </w:tc>
        <w:tc>
          <w:tcPr>
            <w:tcW w:w="5310" w:type="dxa"/>
          </w:tcPr>
          <w:p w14:paraId="4E3BCD4D" w14:textId="77777777" w:rsidR="006215F7" w:rsidRPr="00B40E50" w:rsidRDefault="00B65D64" w:rsidP="00B65D64">
            <w:pPr>
              <w:pStyle w:val="BodyText"/>
              <w:numPr>
                <w:ilvl w:val="0"/>
                <w:numId w:val="31"/>
              </w:numPr>
              <w:spacing w:line="240" w:lineRule="auto"/>
              <w:ind w:left="360"/>
              <w:jc w:val="left"/>
              <w:rPr>
                <w:sz w:val="20"/>
                <w:szCs w:val="20"/>
              </w:rPr>
            </w:pPr>
            <w:r>
              <w:rPr>
                <w:sz w:val="20"/>
                <w:szCs w:val="20"/>
              </w:rPr>
              <w:t>Again, for the reasons noted above, a specific tailings compaction specification has not been proposed. Rather, a method execution specification, that could be costed, and was judged likely to provide the required performance outcomes, was put forward.</w:t>
            </w:r>
          </w:p>
        </w:tc>
      </w:tr>
      <w:tr w:rsidR="006215F7" w:rsidRPr="00B40E50" w14:paraId="1BE66056" w14:textId="77777777" w:rsidTr="008F2659">
        <w:trPr>
          <w:cantSplit/>
        </w:trPr>
        <w:tc>
          <w:tcPr>
            <w:tcW w:w="2430" w:type="dxa"/>
          </w:tcPr>
          <w:p w14:paraId="16467D69" w14:textId="77777777" w:rsidR="006215F7" w:rsidRPr="002C7BD9" w:rsidRDefault="006215F7" w:rsidP="006215F7">
            <w:pPr>
              <w:pStyle w:val="BodyText"/>
              <w:spacing w:line="240" w:lineRule="auto"/>
              <w:jc w:val="left"/>
              <w:rPr>
                <w:b/>
                <w:bCs/>
                <w:sz w:val="20"/>
                <w:szCs w:val="20"/>
              </w:rPr>
            </w:pPr>
            <w:r w:rsidRPr="002C7BD9">
              <w:rPr>
                <w:b/>
                <w:bCs/>
                <w:sz w:val="20"/>
                <w:szCs w:val="20"/>
              </w:rPr>
              <w:t>ldpoloni</w:t>
            </w:r>
            <w:r>
              <w:rPr>
                <w:b/>
                <w:bCs/>
                <w:sz w:val="20"/>
                <w:szCs w:val="20"/>
              </w:rPr>
              <w:t>, page 19</w:t>
            </w:r>
          </w:p>
          <w:p w14:paraId="2945F53F" w14:textId="77777777" w:rsidR="006215F7" w:rsidRPr="002C7BD9" w:rsidRDefault="006215F7" w:rsidP="006215F7">
            <w:pPr>
              <w:pStyle w:val="BodyText"/>
              <w:spacing w:line="240" w:lineRule="auto"/>
              <w:jc w:val="left"/>
              <w:rPr>
                <w:b/>
                <w:bCs/>
                <w:sz w:val="20"/>
                <w:szCs w:val="20"/>
              </w:rPr>
            </w:pPr>
            <w:r>
              <w:rPr>
                <w:b/>
                <w:bCs/>
                <w:sz w:val="20"/>
                <w:szCs w:val="20"/>
              </w:rPr>
              <w:t>10/11</w:t>
            </w:r>
            <w:r w:rsidRPr="002C7BD9">
              <w:rPr>
                <w:b/>
                <w:bCs/>
                <w:sz w:val="20"/>
                <w:szCs w:val="20"/>
              </w:rPr>
              <w:t xml:space="preserve">/2014 </w:t>
            </w:r>
            <w:r>
              <w:rPr>
                <w:b/>
                <w:bCs/>
                <w:sz w:val="20"/>
                <w:szCs w:val="20"/>
              </w:rPr>
              <w:t>4:22:10 PM</w:t>
            </w:r>
          </w:p>
        </w:tc>
        <w:tc>
          <w:tcPr>
            <w:tcW w:w="5310" w:type="dxa"/>
          </w:tcPr>
          <w:p w14:paraId="7BDE2C07" w14:textId="77777777" w:rsidR="006215F7" w:rsidRPr="006215F7" w:rsidRDefault="006215F7" w:rsidP="006215F7">
            <w:pPr>
              <w:pStyle w:val="BodyText"/>
              <w:spacing w:line="240" w:lineRule="auto"/>
              <w:jc w:val="left"/>
              <w:rPr>
                <w:sz w:val="20"/>
                <w:szCs w:val="20"/>
              </w:rPr>
            </w:pPr>
            <w:r w:rsidRPr="006215F7">
              <w:rPr>
                <w:sz w:val="20"/>
                <w:szCs w:val="20"/>
              </w:rPr>
              <w:t>(AAM)</w:t>
            </w:r>
          </w:p>
          <w:p w14:paraId="154C06F3" w14:textId="77777777" w:rsidR="006215F7" w:rsidRPr="00525C54" w:rsidRDefault="006215F7" w:rsidP="006215F7">
            <w:pPr>
              <w:pStyle w:val="BodyText"/>
              <w:numPr>
                <w:ilvl w:val="0"/>
                <w:numId w:val="31"/>
              </w:numPr>
              <w:spacing w:line="240" w:lineRule="auto"/>
              <w:ind w:left="360"/>
              <w:jc w:val="left"/>
              <w:rPr>
                <w:sz w:val="20"/>
                <w:szCs w:val="20"/>
              </w:rPr>
            </w:pPr>
            <w:r w:rsidRPr="006215F7">
              <w:rPr>
                <w:sz w:val="20"/>
                <w:szCs w:val="20"/>
              </w:rPr>
              <w:t>Can</w:t>
            </w:r>
            <w:r>
              <w:rPr>
                <w:sz w:val="20"/>
                <w:szCs w:val="20"/>
              </w:rPr>
              <w:t xml:space="preserve"> you please revise the sentence?</w:t>
            </w:r>
            <w:r w:rsidRPr="006215F7">
              <w:rPr>
                <w:sz w:val="20"/>
                <w:szCs w:val="20"/>
              </w:rPr>
              <w:t xml:space="preserve"> The sentence is not complete.</w:t>
            </w:r>
          </w:p>
        </w:tc>
        <w:tc>
          <w:tcPr>
            <w:tcW w:w="5310" w:type="dxa"/>
          </w:tcPr>
          <w:p w14:paraId="20B35C3D" w14:textId="77777777" w:rsidR="006215F7" w:rsidRPr="00B40E50" w:rsidRDefault="00B65D64" w:rsidP="00B65D64">
            <w:pPr>
              <w:pStyle w:val="BodyText"/>
              <w:numPr>
                <w:ilvl w:val="0"/>
                <w:numId w:val="31"/>
              </w:numPr>
              <w:spacing w:line="240" w:lineRule="auto"/>
              <w:ind w:left="360"/>
              <w:jc w:val="left"/>
              <w:rPr>
                <w:sz w:val="20"/>
                <w:szCs w:val="20"/>
              </w:rPr>
            </w:pPr>
            <w:r>
              <w:rPr>
                <w:sz w:val="20"/>
                <w:szCs w:val="20"/>
              </w:rPr>
              <w:t>Text revised.</w:t>
            </w:r>
          </w:p>
        </w:tc>
      </w:tr>
      <w:tr w:rsidR="006215F7" w:rsidRPr="00B40E50" w14:paraId="27FE8E53" w14:textId="77777777" w:rsidTr="008F2659">
        <w:trPr>
          <w:cantSplit/>
        </w:trPr>
        <w:tc>
          <w:tcPr>
            <w:tcW w:w="2430" w:type="dxa"/>
          </w:tcPr>
          <w:p w14:paraId="700A845A" w14:textId="77777777" w:rsidR="006215F7" w:rsidRPr="002C7BD9" w:rsidRDefault="006215F7" w:rsidP="006215F7">
            <w:pPr>
              <w:pStyle w:val="BodyText"/>
              <w:spacing w:line="240" w:lineRule="auto"/>
              <w:jc w:val="left"/>
              <w:rPr>
                <w:b/>
                <w:bCs/>
                <w:sz w:val="20"/>
                <w:szCs w:val="20"/>
              </w:rPr>
            </w:pPr>
            <w:r w:rsidRPr="002C7BD9">
              <w:rPr>
                <w:b/>
                <w:bCs/>
                <w:sz w:val="20"/>
                <w:szCs w:val="20"/>
              </w:rPr>
              <w:t>ldpoloni</w:t>
            </w:r>
            <w:r>
              <w:rPr>
                <w:b/>
                <w:bCs/>
                <w:sz w:val="20"/>
                <w:szCs w:val="20"/>
              </w:rPr>
              <w:t>, page 19</w:t>
            </w:r>
          </w:p>
          <w:p w14:paraId="5E846AFA" w14:textId="77777777" w:rsidR="006215F7" w:rsidRPr="002C7BD9" w:rsidRDefault="006215F7" w:rsidP="006215F7">
            <w:pPr>
              <w:pStyle w:val="BodyText"/>
              <w:spacing w:line="240" w:lineRule="auto"/>
              <w:jc w:val="left"/>
              <w:rPr>
                <w:b/>
                <w:bCs/>
                <w:sz w:val="20"/>
                <w:szCs w:val="20"/>
              </w:rPr>
            </w:pPr>
            <w:r>
              <w:rPr>
                <w:b/>
                <w:bCs/>
                <w:sz w:val="20"/>
                <w:szCs w:val="20"/>
              </w:rPr>
              <w:t>10/11</w:t>
            </w:r>
            <w:r w:rsidRPr="002C7BD9">
              <w:rPr>
                <w:b/>
                <w:bCs/>
                <w:sz w:val="20"/>
                <w:szCs w:val="20"/>
              </w:rPr>
              <w:t xml:space="preserve">/2014 </w:t>
            </w:r>
            <w:r>
              <w:rPr>
                <w:b/>
                <w:bCs/>
                <w:sz w:val="20"/>
                <w:szCs w:val="20"/>
              </w:rPr>
              <w:t>4:23:11 PM</w:t>
            </w:r>
          </w:p>
        </w:tc>
        <w:tc>
          <w:tcPr>
            <w:tcW w:w="5310" w:type="dxa"/>
          </w:tcPr>
          <w:p w14:paraId="1908E372" w14:textId="77777777" w:rsidR="006215F7" w:rsidRPr="006215F7" w:rsidRDefault="006215F7" w:rsidP="006215F7">
            <w:pPr>
              <w:pStyle w:val="BodyText"/>
              <w:spacing w:line="240" w:lineRule="auto"/>
              <w:jc w:val="left"/>
              <w:rPr>
                <w:sz w:val="20"/>
                <w:szCs w:val="20"/>
              </w:rPr>
            </w:pPr>
            <w:r w:rsidRPr="006215F7">
              <w:rPr>
                <w:sz w:val="20"/>
                <w:szCs w:val="20"/>
              </w:rPr>
              <w:t>(AAM)</w:t>
            </w:r>
          </w:p>
          <w:p w14:paraId="050A521A" w14:textId="77777777" w:rsidR="006215F7" w:rsidRPr="00525C54" w:rsidRDefault="006215F7" w:rsidP="006215F7">
            <w:pPr>
              <w:pStyle w:val="BodyText"/>
              <w:numPr>
                <w:ilvl w:val="0"/>
                <w:numId w:val="31"/>
              </w:numPr>
              <w:spacing w:line="240" w:lineRule="auto"/>
              <w:ind w:left="360"/>
              <w:jc w:val="left"/>
              <w:rPr>
                <w:sz w:val="20"/>
                <w:szCs w:val="20"/>
              </w:rPr>
            </w:pPr>
            <w:r w:rsidRPr="006215F7">
              <w:rPr>
                <w:sz w:val="20"/>
                <w:szCs w:val="20"/>
              </w:rPr>
              <w:t>What does this mean? Please elaborate or clarify or rephrase</w:t>
            </w:r>
            <w:r>
              <w:rPr>
                <w:sz w:val="20"/>
                <w:szCs w:val="20"/>
              </w:rPr>
              <w:t>.</w:t>
            </w:r>
          </w:p>
        </w:tc>
        <w:tc>
          <w:tcPr>
            <w:tcW w:w="5310" w:type="dxa"/>
          </w:tcPr>
          <w:p w14:paraId="77FC6012" w14:textId="77777777" w:rsidR="006215F7" w:rsidRPr="00B40E50" w:rsidRDefault="00B65D64" w:rsidP="00B65D64">
            <w:pPr>
              <w:pStyle w:val="BodyText"/>
              <w:numPr>
                <w:ilvl w:val="0"/>
                <w:numId w:val="31"/>
              </w:numPr>
              <w:spacing w:line="240" w:lineRule="auto"/>
              <w:ind w:left="360"/>
              <w:jc w:val="left"/>
              <w:rPr>
                <w:sz w:val="20"/>
                <w:szCs w:val="20"/>
              </w:rPr>
            </w:pPr>
            <w:r>
              <w:rPr>
                <w:sz w:val="20"/>
                <w:szCs w:val="20"/>
              </w:rPr>
              <w:t>Wording revised to clarify that in those circumstances where reliable predictions of dewatering efficiency are necessary, field trials or pilots are often conducted.</w:t>
            </w:r>
          </w:p>
        </w:tc>
      </w:tr>
      <w:tr w:rsidR="006215F7" w:rsidRPr="00B40E50" w14:paraId="26B67DFC" w14:textId="77777777" w:rsidTr="008F2659">
        <w:trPr>
          <w:cantSplit/>
        </w:trPr>
        <w:tc>
          <w:tcPr>
            <w:tcW w:w="2430" w:type="dxa"/>
          </w:tcPr>
          <w:p w14:paraId="6BA6BC53" w14:textId="77777777" w:rsidR="006215F7" w:rsidRPr="002C7BD9" w:rsidRDefault="006215F7" w:rsidP="006215F7">
            <w:pPr>
              <w:pStyle w:val="BodyText"/>
              <w:spacing w:line="240" w:lineRule="auto"/>
              <w:jc w:val="left"/>
              <w:rPr>
                <w:b/>
                <w:bCs/>
                <w:sz w:val="20"/>
                <w:szCs w:val="20"/>
              </w:rPr>
            </w:pPr>
            <w:r w:rsidRPr="002C7BD9">
              <w:rPr>
                <w:b/>
                <w:bCs/>
                <w:sz w:val="20"/>
                <w:szCs w:val="20"/>
              </w:rPr>
              <w:t>ldpoloni</w:t>
            </w:r>
            <w:r>
              <w:rPr>
                <w:b/>
                <w:bCs/>
                <w:sz w:val="20"/>
                <w:szCs w:val="20"/>
              </w:rPr>
              <w:t>, page 20</w:t>
            </w:r>
          </w:p>
          <w:p w14:paraId="7693A280" w14:textId="77777777" w:rsidR="006215F7" w:rsidRPr="002C7BD9" w:rsidRDefault="006215F7" w:rsidP="006215F7">
            <w:pPr>
              <w:pStyle w:val="BodyText"/>
              <w:spacing w:line="240" w:lineRule="auto"/>
              <w:jc w:val="left"/>
              <w:rPr>
                <w:b/>
                <w:bCs/>
                <w:sz w:val="20"/>
                <w:szCs w:val="20"/>
              </w:rPr>
            </w:pPr>
            <w:r>
              <w:rPr>
                <w:b/>
                <w:bCs/>
                <w:sz w:val="20"/>
                <w:szCs w:val="20"/>
              </w:rPr>
              <w:t>10/11</w:t>
            </w:r>
            <w:r w:rsidRPr="002C7BD9">
              <w:rPr>
                <w:b/>
                <w:bCs/>
                <w:sz w:val="20"/>
                <w:szCs w:val="20"/>
              </w:rPr>
              <w:t xml:space="preserve">/2014 </w:t>
            </w:r>
            <w:r>
              <w:rPr>
                <w:b/>
                <w:bCs/>
                <w:sz w:val="20"/>
                <w:szCs w:val="20"/>
              </w:rPr>
              <w:t>4:2</w:t>
            </w:r>
            <w:r w:rsidR="00C01D07">
              <w:rPr>
                <w:b/>
                <w:bCs/>
                <w:sz w:val="20"/>
                <w:szCs w:val="20"/>
              </w:rPr>
              <w:t>5</w:t>
            </w:r>
            <w:r>
              <w:rPr>
                <w:b/>
                <w:bCs/>
                <w:sz w:val="20"/>
                <w:szCs w:val="20"/>
              </w:rPr>
              <w:t>:11 PM</w:t>
            </w:r>
          </w:p>
        </w:tc>
        <w:tc>
          <w:tcPr>
            <w:tcW w:w="5310" w:type="dxa"/>
          </w:tcPr>
          <w:p w14:paraId="18CE0D80" w14:textId="77777777" w:rsidR="00C01D07" w:rsidRPr="00C01D07" w:rsidRDefault="00C01D07" w:rsidP="00C01D07">
            <w:pPr>
              <w:pStyle w:val="BodyText"/>
              <w:spacing w:line="240" w:lineRule="auto"/>
              <w:jc w:val="left"/>
              <w:rPr>
                <w:sz w:val="20"/>
                <w:szCs w:val="20"/>
              </w:rPr>
            </w:pPr>
            <w:r w:rsidRPr="00C01D07">
              <w:rPr>
                <w:sz w:val="20"/>
                <w:szCs w:val="20"/>
              </w:rPr>
              <w:t>(AAM)</w:t>
            </w:r>
          </w:p>
          <w:p w14:paraId="33E8AADD" w14:textId="77777777" w:rsidR="006215F7" w:rsidRPr="00525C54" w:rsidRDefault="00C01D07" w:rsidP="00C01D07">
            <w:pPr>
              <w:pStyle w:val="BodyText"/>
              <w:numPr>
                <w:ilvl w:val="0"/>
                <w:numId w:val="31"/>
              </w:numPr>
              <w:spacing w:line="240" w:lineRule="auto"/>
              <w:ind w:left="360"/>
              <w:jc w:val="left"/>
              <w:rPr>
                <w:sz w:val="20"/>
                <w:szCs w:val="20"/>
              </w:rPr>
            </w:pPr>
            <w:r w:rsidRPr="00C01D07">
              <w:rPr>
                <w:sz w:val="20"/>
                <w:szCs w:val="20"/>
              </w:rPr>
              <w:t>Can you please split these 2 components?</w:t>
            </w:r>
          </w:p>
        </w:tc>
        <w:tc>
          <w:tcPr>
            <w:tcW w:w="5310" w:type="dxa"/>
          </w:tcPr>
          <w:p w14:paraId="7FEF9F12" w14:textId="77777777" w:rsidR="006215F7" w:rsidRPr="00B40E50" w:rsidRDefault="00B65D64" w:rsidP="00B65D64">
            <w:pPr>
              <w:pStyle w:val="BodyText"/>
              <w:numPr>
                <w:ilvl w:val="0"/>
                <w:numId w:val="31"/>
              </w:numPr>
              <w:spacing w:line="240" w:lineRule="auto"/>
              <w:ind w:left="360"/>
              <w:jc w:val="left"/>
              <w:rPr>
                <w:sz w:val="20"/>
                <w:szCs w:val="20"/>
              </w:rPr>
            </w:pPr>
            <w:r>
              <w:rPr>
                <w:sz w:val="20"/>
                <w:szCs w:val="20"/>
              </w:rPr>
              <w:t>Done.</w:t>
            </w:r>
          </w:p>
        </w:tc>
      </w:tr>
      <w:tr w:rsidR="00C53CDE" w:rsidRPr="00B40E50" w14:paraId="725B7B70" w14:textId="77777777" w:rsidTr="008F2659">
        <w:trPr>
          <w:cantSplit/>
        </w:trPr>
        <w:tc>
          <w:tcPr>
            <w:tcW w:w="2430" w:type="dxa"/>
          </w:tcPr>
          <w:p w14:paraId="420BFD8B" w14:textId="77777777" w:rsidR="00C53CDE" w:rsidRPr="002C7BD9" w:rsidRDefault="00C53CDE" w:rsidP="00C53CDE">
            <w:pPr>
              <w:pStyle w:val="BodyText"/>
              <w:spacing w:line="240" w:lineRule="auto"/>
              <w:jc w:val="left"/>
              <w:rPr>
                <w:b/>
                <w:bCs/>
                <w:sz w:val="20"/>
                <w:szCs w:val="20"/>
              </w:rPr>
            </w:pPr>
            <w:r w:rsidRPr="002C7BD9">
              <w:rPr>
                <w:b/>
                <w:bCs/>
                <w:sz w:val="20"/>
                <w:szCs w:val="20"/>
              </w:rPr>
              <w:t>ldpoloni</w:t>
            </w:r>
            <w:r>
              <w:rPr>
                <w:b/>
                <w:bCs/>
                <w:sz w:val="20"/>
                <w:szCs w:val="20"/>
              </w:rPr>
              <w:t>, page 25</w:t>
            </w:r>
          </w:p>
          <w:p w14:paraId="610AA4E5" w14:textId="77777777" w:rsidR="00C53CDE" w:rsidRPr="002C7BD9" w:rsidRDefault="00C53CDE" w:rsidP="00C53CDE">
            <w:pPr>
              <w:pStyle w:val="BodyText"/>
              <w:spacing w:line="240" w:lineRule="auto"/>
              <w:jc w:val="left"/>
              <w:rPr>
                <w:b/>
                <w:bCs/>
                <w:sz w:val="20"/>
                <w:szCs w:val="20"/>
              </w:rPr>
            </w:pPr>
            <w:r>
              <w:rPr>
                <w:b/>
                <w:bCs/>
                <w:sz w:val="20"/>
                <w:szCs w:val="20"/>
              </w:rPr>
              <w:t>10/11</w:t>
            </w:r>
            <w:r w:rsidRPr="002C7BD9">
              <w:rPr>
                <w:b/>
                <w:bCs/>
                <w:sz w:val="20"/>
                <w:szCs w:val="20"/>
              </w:rPr>
              <w:t xml:space="preserve">/2014 </w:t>
            </w:r>
            <w:r>
              <w:rPr>
                <w:b/>
                <w:bCs/>
                <w:sz w:val="20"/>
                <w:szCs w:val="20"/>
              </w:rPr>
              <w:t>4:30:08 PM</w:t>
            </w:r>
          </w:p>
        </w:tc>
        <w:tc>
          <w:tcPr>
            <w:tcW w:w="5310" w:type="dxa"/>
          </w:tcPr>
          <w:p w14:paraId="7064D881" w14:textId="77777777" w:rsidR="00C53CDE" w:rsidRPr="00C53CDE" w:rsidRDefault="00C53CDE" w:rsidP="00C53CDE">
            <w:pPr>
              <w:pStyle w:val="BodyText"/>
              <w:spacing w:line="240" w:lineRule="auto"/>
              <w:jc w:val="left"/>
              <w:rPr>
                <w:sz w:val="20"/>
                <w:szCs w:val="20"/>
              </w:rPr>
            </w:pPr>
            <w:r w:rsidRPr="00C53CDE">
              <w:rPr>
                <w:sz w:val="20"/>
                <w:szCs w:val="20"/>
              </w:rPr>
              <w:t>(AAM)</w:t>
            </w:r>
          </w:p>
          <w:p w14:paraId="67D2BB9B" w14:textId="77777777" w:rsidR="00C53CDE" w:rsidRPr="00525C54" w:rsidRDefault="00C53CDE" w:rsidP="00C53CDE">
            <w:pPr>
              <w:pStyle w:val="BodyText"/>
              <w:numPr>
                <w:ilvl w:val="0"/>
                <w:numId w:val="31"/>
              </w:numPr>
              <w:spacing w:line="240" w:lineRule="auto"/>
              <w:ind w:left="360"/>
              <w:jc w:val="left"/>
              <w:rPr>
                <w:sz w:val="20"/>
                <w:szCs w:val="20"/>
              </w:rPr>
            </w:pPr>
            <w:r w:rsidRPr="00C53CDE">
              <w:rPr>
                <w:sz w:val="20"/>
                <w:szCs w:val="20"/>
              </w:rPr>
              <w:t>Should the discovery of additional contaminant within Dome Creek during the 2014/15 SI be discussed here or inserted (i.e.</w:t>
            </w:r>
            <w:r>
              <w:rPr>
                <w:sz w:val="20"/>
                <w:szCs w:val="20"/>
              </w:rPr>
              <w:t>,</w:t>
            </w:r>
            <w:r w:rsidRPr="00C53CDE">
              <w:rPr>
                <w:sz w:val="20"/>
                <w:szCs w:val="20"/>
              </w:rPr>
              <w:t xml:space="preserve"> cost of restoring Dome Creek will increase due to the level of contaminants identified during the 2014 SI program)? Is it the case, or not and should it be inserted or we don't have enough information yet to speculate?</w:t>
            </w:r>
          </w:p>
        </w:tc>
        <w:tc>
          <w:tcPr>
            <w:tcW w:w="5310" w:type="dxa"/>
          </w:tcPr>
          <w:p w14:paraId="1A741522" w14:textId="77777777" w:rsidR="00C53CDE" w:rsidRPr="00B40E50" w:rsidRDefault="00B65D64" w:rsidP="00B65D64">
            <w:pPr>
              <w:pStyle w:val="BodyText"/>
              <w:numPr>
                <w:ilvl w:val="0"/>
                <w:numId w:val="31"/>
              </w:numPr>
              <w:spacing w:line="240" w:lineRule="auto"/>
              <w:ind w:left="360"/>
              <w:jc w:val="left"/>
              <w:rPr>
                <w:sz w:val="20"/>
                <w:szCs w:val="20"/>
              </w:rPr>
            </w:pPr>
            <w:r>
              <w:rPr>
                <w:sz w:val="20"/>
                <w:szCs w:val="20"/>
              </w:rPr>
              <w:t>Key scope area number 1 in Table 3.2-1 notes that the upper bound sensitivity assessment increases the assumed Phase 1 sediment volumes by 100% to evaluate the potential cost impact of an increased creek bed sediment removal scope. This is an interim provision assumed in advance of the updated sediment volume estimate that forms part of the Phase 2 design development scope.</w:t>
            </w:r>
          </w:p>
        </w:tc>
      </w:tr>
      <w:tr w:rsidR="00C53CDE" w:rsidRPr="00B40E50" w14:paraId="60C01E6F" w14:textId="77777777" w:rsidTr="008F2659">
        <w:trPr>
          <w:cantSplit/>
        </w:trPr>
        <w:tc>
          <w:tcPr>
            <w:tcW w:w="2430" w:type="dxa"/>
          </w:tcPr>
          <w:p w14:paraId="3A9B5978" w14:textId="77777777" w:rsidR="00C53CDE" w:rsidRPr="002C7BD9" w:rsidRDefault="00C53CDE" w:rsidP="00C53CDE">
            <w:pPr>
              <w:pStyle w:val="BodyText"/>
              <w:spacing w:line="240" w:lineRule="auto"/>
              <w:jc w:val="left"/>
              <w:rPr>
                <w:b/>
                <w:bCs/>
                <w:sz w:val="20"/>
                <w:szCs w:val="20"/>
              </w:rPr>
            </w:pPr>
            <w:r w:rsidRPr="002C7BD9">
              <w:rPr>
                <w:b/>
                <w:bCs/>
                <w:sz w:val="20"/>
                <w:szCs w:val="20"/>
              </w:rPr>
              <w:t>ldpoloni</w:t>
            </w:r>
            <w:r>
              <w:rPr>
                <w:b/>
                <w:bCs/>
                <w:sz w:val="20"/>
                <w:szCs w:val="20"/>
              </w:rPr>
              <w:t>, page 26</w:t>
            </w:r>
          </w:p>
          <w:p w14:paraId="74C42C14" w14:textId="77777777" w:rsidR="00C53CDE" w:rsidRPr="002C7BD9" w:rsidRDefault="00C53CDE" w:rsidP="00C53CDE">
            <w:pPr>
              <w:pStyle w:val="BodyText"/>
              <w:spacing w:line="240" w:lineRule="auto"/>
              <w:jc w:val="left"/>
              <w:rPr>
                <w:b/>
                <w:bCs/>
                <w:sz w:val="20"/>
                <w:szCs w:val="20"/>
              </w:rPr>
            </w:pPr>
            <w:r>
              <w:rPr>
                <w:b/>
                <w:bCs/>
                <w:sz w:val="20"/>
                <w:szCs w:val="20"/>
              </w:rPr>
              <w:t>10/11</w:t>
            </w:r>
            <w:r w:rsidRPr="002C7BD9">
              <w:rPr>
                <w:b/>
                <w:bCs/>
                <w:sz w:val="20"/>
                <w:szCs w:val="20"/>
              </w:rPr>
              <w:t xml:space="preserve">/2014 </w:t>
            </w:r>
            <w:r>
              <w:rPr>
                <w:b/>
                <w:bCs/>
                <w:sz w:val="20"/>
                <w:szCs w:val="20"/>
              </w:rPr>
              <w:t>4:31:23 PM</w:t>
            </w:r>
          </w:p>
        </w:tc>
        <w:tc>
          <w:tcPr>
            <w:tcW w:w="5310" w:type="dxa"/>
          </w:tcPr>
          <w:p w14:paraId="24DBF327" w14:textId="77777777" w:rsidR="00C53CDE" w:rsidRPr="00C53CDE" w:rsidRDefault="00C53CDE" w:rsidP="00C53CDE">
            <w:pPr>
              <w:pStyle w:val="BodyText"/>
              <w:spacing w:line="240" w:lineRule="auto"/>
              <w:jc w:val="left"/>
              <w:rPr>
                <w:sz w:val="20"/>
                <w:szCs w:val="20"/>
              </w:rPr>
            </w:pPr>
            <w:r w:rsidRPr="00C53CDE">
              <w:rPr>
                <w:sz w:val="20"/>
                <w:szCs w:val="20"/>
              </w:rPr>
              <w:t>(AAM)</w:t>
            </w:r>
          </w:p>
          <w:p w14:paraId="250BEA9F" w14:textId="77777777" w:rsidR="00C53CDE" w:rsidRPr="00C53CDE" w:rsidRDefault="00C53CDE" w:rsidP="00C53CDE">
            <w:pPr>
              <w:pStyle w:val="BodyText"/>
              <w:numPr>
                <w:ilvl w:val="0"/>
                <w:numId w:val="31"/>
              </w:numPr>
              <w:spacing w:line="240" w:lineRule="auto"/>
              <w:ind w:left="360"/>
              <w:jc w:val="left"/>
              <w:rPr>
                <w:sz w:val="20"/>
                <w:szCs w:val="20"/>
              </w:rPr>
            </w:pPr>
            <w:r w:rsidRPr="00C53CDE">
              <w:rPr>
                <w:sz w:val="20"/>
                <w:szCs w:val="20"/>
              </w:rPr>
              <w:t>Isn't unrealistic that in the 60M$ no revegetation, no AMP, no design contingencies will be required?</w:t>
            </w:r>
          </w:p>
        </w:tc>
        <w:tc>
          <w:tcPr>
            <w:tcW w:w="5310" w:type="dxa"/>
          </w:tcPr>
          <w:p w14:paraId="5534AC3A" w14:textId="77777777" w:rsidR="00C53CDE" w:rsidRPr="00B40E50" w:rsidRDefault="009C107F" w:rsidP="00B65D64">
            <w:pPr>
              <w:pStyle w:val="BodyText"/>
              <w:numPr>
                <w:ilvl w:val="0"/>
                <w:numId w:val="31"/>
              </w:numPr>
              <w:spacing w:line="240" w:lineRule="auto"/>
              <w:ind w:left="360"/>
              <w:jc w:val="left"/>
              <w:rPr>
                <w:sz w:val="20"/>
                <w:szCs w:val="20"/>
              </w:rPr>
            </w:pPr>
            <w:r>
              <w:rPr>
                <w:sz w:val="20"/>
                <w:szCs w:val="20"/>
              </w:rPr>
              <w:t>The intent is to illustrate the potential impact that more liberal assumptions could have on the estimate. We have not quantified the probability associated with the lower and upper bound figures, but it should be understood that these probabilities are much lower than for the base estimate.</w:t>
            </w:r>
          </w:p>
        </w:tc>
      </w:tr>
      <w:tr w:rsidR="00C53CDE" w:rsidRPr="00B40E50" w14:paraId="5EB1B57F" w14:textId="77777777" w:rsidTr="008F2659">
        <w:tc>
          <w:tcPr>
            <w:tcW w:w="2430" w:type="dxa"/>
          </w:tcPr>
          <w:p w14:paraId="455C81B5" w14:textId="77777777" w:rsidR="00C53CDE" w:rsidRPr="002C7BD9" w:rsidRDefault="00C53CDE" w:rsidP="00C53CDE">
            <w:pPr>
              <w:pStyle w:val="BodyText"/>
              <w:spacing w:line="240" w:lineRule="auto"/>
              <w:jc w:val="left"/>
              <w:rPr>
                <w:b/>
                <w:bCs/>
                <w:sz w:val="20"/>
                <w:szCs w:val="20"/>
              </w:rPr>
            </w:pPr>
            <w:r w:rsidRPr="002C7BD9">
              <w:rPr>
                <w:b/>
                <w:bCs/>
                <w:sz w:val="20"/>
                <w:szCs w:val="20"/>
              </w:rPr>
              <w:lastRenderedPageBreak/>
              <w:t>ldpoloni</w:t>
            </w:r>
            <w:r>
              <w:rPr>
                <w:b/>
                <w:bCs/>
                <w:sz w:val="20"/>
                <w:szCs w:val="20"/>
              </w:rPr>
              <w:t>, page 35</w:t>
            </w:r>
          </w:p>
          <w:p w14:paraId="08E8E07D" w14:textId="77777777" w:rsidR="00C53CDE" w:rsidRPr="002C7BD9" w:rsidRDefault="00C53CDE" w:rsidP="00C53CDE">
            <w:pPr>
              <w:pStyle w:val="BodyText"/>
              <w:spacing w:line="240" w:lineRule="auto"/>
              <w:jc w:val="left"/>
              <w:rPr>
                <w:b/>
                <w:bCs/>
                <w:sz w:val="20"/>
                <w:szCs w:val="20"/>
              </w:rPr>
            </w:pPr>
            <w:r>
              <w:rPr>
                <w:b/>
                <w:bCs/>
                <w:sz w:val="20"/>
                <w:szCs w:val="20"/>
              </w:rPr>
              <w:t>07/11</w:t>
            </w:r>
            <w:r w:rsidRPr="002C7BD9">
              <w:rPr>
                <w:b/>
                <w:bCs/>
                <w:sz w:val="20"/>
                <w:szCs w:val="20"/>
              </w:rPr>
              <w:t xml:space="preserve">/2014 </w:t>
            </w:r>
            <w:r>
              <w:rPr>
                <w:b/>
                <w:bCs/>
                <w:sz w:val="20"/>
                <w:szCs w:val="20"/>
              </w:rPr>
              <w:t>12:50:20 PM</w:t>
            </w:r>
          </w:p>
        </w:tc>
        <w:tc>
          <w:tcPr>
            <w:tcW w:w="5310" w:type="dxa"/>
          </w:tcPr>
          <w:p w14:paraId="68F8C5D1" w14:textId="77777777" w:rsidR="00C53CDE" w:rsidRPr="00C53CDE" w:rsidRDefault="00C53CDE" w:rsidP="00C53CDE">
            <w:pPr>
              <w:pStyle w:val="BodyText"/>
              <w:spacing w:line="240" w:lineRule="auto"/>
              <w:jc w:val="left"/>
              <w:rPr>
                <w:sz w:val="20"/>
                <w:szCs w:val="20"/>
              </w:rPr>
            </w:pPr>
            <w:r w:rsidRPr="00C53CDE">
              <w:rPr>
                <w:sz w:val="20"/>
                <w:szCs w:val="20"/>
              </w:rPr>
              <w:t>(AANDC)</w:t>
            </w:r>
          </w:p>
          <w:p w14:paraId="2AC9DBC9" w14:textId="77777777" w:rsidR="00C53CDE" w:rsidRPr="00525C54" w:rsidRDefault="00C53CDE" w:rsidP="00C53CDE">
            <w:pPr>
              <w:pStyle w:val="BodyText"/>
              <w:numPr>
                <w:ilvl w:val="0"/>
                <w:numId w:val="31"/>
              </w:numPr>
              <w:spacing w:line="240" w:lineRule="auto"/>
              <w:ind w:left="360"/>
              <w:jc w:val="left"/>
              <w:rPr>
                <w:sz w:val="20"/>
                <w:szCs w:val="20"/>
              </w:rPr>
            </w:pPr>
            <w:r w:rsidRPr="00C53CDE">
              <w:rPr>
                <w:sz w:val="20"/>
                <w:szCs w:val="20"/>
              </w:rPr>
              <w:t>This seems to have changed from “minimize infiltration” to “low moisture” ...  how did this change come about?</w:t>
            </w:r>
          </w:p>
        </w:tc>
        <w:tc>
          <w:tcPr>
            <w:tcW w:w="5310" w:type="dxa"/>
          </w:tcPr>
          <w:p w14:paraId="1D018756" w14:textId="4982091D" w:rsidR="00C53CDE" w:rsidRPr="00B40E50" w:rsidRDefault="009C107F" w:rsidP="00150E16">
            <w:pPr>
              <w:pStyle w:val="BodyText"/>
              <w:numPr>
                <w:ilvl w:val="0"/>
                <w:numId w:val="31"/>
              </w:numPr>
              <w:spacing w:line="240" w:lineRule="auto"/>
              <w:ind w:left="360"/>
              <w:jc w:val="left"/>
              <w:rPr>
                <w:sz w:val="20"/>
                <w:szCs w:val="20"/>
              </w:rPr>
            </w:pPr>
            <w:r>
              <w:rPr>
                <w:sz w:val="20"/>
                <w:szCs w:val="20"/>
              </w:rPr>
              <w:t xml:space="preserve">This </w:t>
            </w:r>
            <w:r w:rsidR="00150E16">
              <w:rPr>
                <w:sz w:val="20"/>
                <w:szCs w:val="20"/>
              </w:rPr>
              <w:t>isn’t a</w:t>
            </w:r>
            <w:r>
              <w:rPr>
                <w:sz w:val="20"/>
                <w:szCs w:val="20"/>
              </w:rPr>
              <w:t xml:space="preserve"> change so much as a refinement of the terminology. The pre-Phase 1 descripti</w:t>
            </w:r>
            <w:r w:rsidR="00F84418">
              <w:rPr>
                <w:sz w:val="20"/>
                <w:szCs w:val="20"/>
              </w:rPr>
              <w:t>ons of pit conditions (Table 2.3.1</w:t>
            </w:r>
            <w:r>
              <w:rPr>
                <w:sz w:val="20"/>
                <w:szCs w:val="20"/>
              </w:rPr>
              <w:t xml:space="preserve">-1 in the review report) referenced “dry conditions within the tailings deposits” which was sometimes misinterpreted as “dry tailings”. The intent of the revised language </w:t>
            </w:r>
            <w:r w:rsidR="00C81EA8">
              <w:rPr>
                <w:sz w:val="20"/>
                <w:szCs w:val="20"/>
              </w:rPr>
              <w:t>is to convey that the tailings will be placed in conditions consistent with the Driving Project Criteria (specifically the “Stable Surfaces and Water Quality” criteria). The current interpretation of those criteria requires that the water content of the tails be reduced, but not to levels that would render the materials “dry”.</w:t>
            </w:r>
          </w:p>
        </w:tc>
      </w:tr>
      <w:tr w:rsidR="00C53CDE" w:rsidRPr="00B40E50" w14:paraId="508F7BFE" w14:textId="77777777" w:rsidTr="008F2659">
        <w:tc>
          <w:tcPr>
            <w:tcW w:w="2430" w:type="dxa"/>
          </w:tcPr>
          <w:p w14:paraId="628CBF5F" w14:textId="77777777" w:rsidR="00C53CDE" w:rsidRPr="002C7BD9" w:rsidRDefault="00C53CDE" w:rsidP="00C53CDE">
            <w:pPr>
              <w:pStyle w:val="BodyText"/>
              <w:spacing w:line="240" w:lineRule="auto"/>
              <w:jc w:val="left"/>
              <w:rPr>
                <w:b/>
                <w:bCs/>
                <w:sz w:val="20"/>
                <w:szCs w:val="20"/>
              </w:rPr>
            </w:pPr>
            <w:r w:rsidRPr="002C7BD9">
              <w:rPr>
                <w:b/>
                <w:bCs/>
                <w:sz w:val="20"/>
                <w:szCs w:val="20"/>
              </w:rPr>
              <w:t>ldpoloni</w:t>
            </w:r>
            <w:r>
              <w:rPr>
                <w:b/>
                <w:bCs/>
                <w:sz w:val="20"/>
                <w:szCs w:val="20"/>
              </w:rPr>
              <w:t>, page 35</w:t>
            </w:r>
          </w:p>
          <w:p w14:paraId="4C96917A" w14:textId="77777777" w:rsidR="00C53CDE" w:rsidRPr="002C7BD9" w:rsidRDefault="00C53CDE" w:rsidP="00C53CDE">
            <w:pPr>
              <w:pStyle w:val="BodyText"/>
              <w:spacing w:line="240" w:lineRule="auto"/>
              <w:jc w:val="left"/>
              <w:rPr>
                <w:b/>
                <w:bCs/>
                <w:sz w:val="20"/>
                <w:szCs w:val="20"/>
              </w:rPr>
            </w:pPr>
            <w:r>
              <w:rPr>
                <w:b/>
                <w:bCs/>
                <w:sz w:val="20"/>
                <w:szCs w:val="20"/>
              </w:rPr>
              <w:t>07/11</w:t>
            </w:r>
            <w:r w:rsidRPr="002C7BD9">
              <w:rPr>
                <w:b/>
                <w:bCs/>
                <w:sz w:val="20"/>
                <w:szCs w:val="20"/>
              </w:rPr>
              <w:t xml:space="preserve">/2014 </w:t>
            </w:r>
            <w:r>
              <w:rPr>
                <w:b/>
                <w:bCs/>
                <w:sz w:val="20"/>
                <w:szCs w:val="20"/>
              </w:rPr>
              <w:t>12:50:25 PM</w:t>
            </w:r>
          </w:p>
        </w:tc>
        <w:tc>
          <w:tcPr>
            <w:tcW w:w="5310" w:type="dxa"/>
          </w:tcPr>
          <w:p w14:paraId="4757D9B9" w14:textId="77777777" w:rsidR="00C53CDE" w:rsidRPr="00C53CDE" w:rsidRDefault="00C53CDE" w:rsidP="00C53CDE">
            <w:pPr>
              <w:pStyle w:val="BodyText"/>
              <w:spacing w:line="240" w:lineRule="auto"/>
              <w:jc w:val="left"/>
              <w:rPr>
                <w:sz w:val="20"/>
                <w:szCs w:val="20"/>
              </w:rPr>
            </w:pPr>
            <w:r w:rsidRPr="00C53CDE">
              <w:rPr>
                <w:sz w:val="20"/>
                <w:szCs w:val="20"/>
              </w:rPr>
              <w:t>(AANDC)</w:t>
            </w:r>
          </w:p>
          <w:p w14:paraId="10487756" w14:textId="77777777" w:rsidR="00C53CDE" w:rsidRPr="00C53CDE" w:rsidRDefault="00C53CDE" w:rsidP="00C53CDE">
            <w:pPr>
              <w:pStyle w:val="BodyText"/>
              <w:numPr>
                <w:ilvl w:val="0"/>
                <w:numId w:val="31"/>
              </w:numPr>
              <w:spacing w:line="240" w:lineRule="auto"/>
              <w:ind w:left="360"/>
              <w:jc w:val="left"/>
              <w:rPr>
                <w:sz w:val="20"/>
                <w:szCs w:val="20"/>
              </w:rPr>
            </w:pPr>
            <w:r w:rsidRPr="00C53CDE">
              <w:rPr>
                <w:sz w:val="20"/>
                <w:szCs w:val="20"/>
              </w:rPr>
              <w:t>This seems to have changed from “a condition more compatible with original land use” to “stable usable backfilled pit surface”</w:t>
            </w:r>
            <w:r>
              <w:rPr>
                <w:sz w:val="20"/>
                <w:szCs w:val="20"/>
              </w:rPr>
              <w:t>.</w:t>
            </w:r>
            <w:r w:rsidRPr="00C53CDE">
              <w:rPr>
                <w:sz w:val="20"/>
                <w:szCs w:val="20"/>
              </w:rPr>
              <w:t xml:space="preserve"> I think the intent from the Option 4 selection was a </w:t>
            </w:r>
            <w:proofErr w:type="gramStart"/>
            <w:r w:rsidRPr="00C53CDE">
              <w:rPr>
                <w:sz w:val="20"/>
                <w:szCs w:val="20"/>
              </w:rPr>
              <w:t>hole</w:t>
            </w:r>
            <w:proofErr w:type="gramEnd"/>
            <w:r w:rsidRPr="00C53CDE">
              <w:rPr>
                <w:sz w:val="20"/>
                <w:szCs w:val="20"/>
              </w:rPr>
              <w:t xml:space="preserve"> vs no hole ... not a usable surface over the hole. How did this change come about?</w:t>
            </w:r>
          </w:p>
        </w:tc>
        <w:tc>
          <w:tcPr>
            <w:tcW w:w="5310" w:type="dxa"/>
          </w:tcPr>
          <w:p w14:paraId="4716CBA6" w14:textId="77777777" w:rsidR="00C53CDE" w:rsidRPr="00B40E50" w:rsidRDefault="00C81EA8" w:rsidP="00C81EA8">
            <w:pPr>
              <w:pStyle w:val="BodyText"/>
              <w:numPr>
                <w:ilvl w:val="0"/>
                <w:numId w:val="31"/>
              </w:numPr>
              <w:spacing w:line="240" w:lineRule="auto"/>
              <w:ind w:left="360"/>
              <w:jc w:val="left"/>
              <w:rPr>
                <w:sz w:val="20"/>
                <w:szCs w:val="20"/>
              </w:rPr>
            </w:pPr>
            <w:r>
              <w:rPr>
                <w:sz w:val="20"/>
                <w:szCs w:val="20"/>
              </w:rPr>
              <w:t>Again, this change in language was an attempt to provide more specific definition to the Driving Project Criteria. The term “condition more compatible with original land use” can be interpreted in many ways and is, therefore, difficult to connect to a specific set of assumptions about cover performance and execution methods. The phrase “stable</w:t>
            </w:r>
            <w:r w:rsidR="00150E16">
              <w:rPr>
                <w:sz w:val="20"/>
                <w:szCs w:val="20"/>
              </w:rPr>
              <w:t>,</w:t>
            </w:r>
            <w:r>
              <w:rPr>
                <w:sz w:val="20"/>
                <w:szCs w:val="20"/>
              </w:rPr>
              <w:t xml:space="preserve"> useable backfilled pit surface” was intended to convey that we need to place materials in conditions that provide for a permanent, reclaimable and trafficable cover over reasonab</w:t>
            </w:r>
            <w:r w:rsidR="00150E16">
              <w:rPr>
                <w:sz w:val="20"/>
                <w:szCs w:val="20"/>
              </w:rPr>
              <w:t>le and comparatively predictable,</w:t>
            </w:r>
            <w:r>
              <w:rPr>
                <w:sz w:val="20"/>
                <w:szCs w:val="20"/>
              </w:rPr>
              <w:t xml:space="preserve"> short to intermediate timelines (i.e., that we get a reclaimed landscape with some practical utility in say five to ten years, rather than a surface that remains untrafficable and aesthetically disconnected than surrounding lands over an indefinite, indeterminate </w:t>
            </w:r>
            <w:r w:rsidR="00026533">
              <w:rPr>
                <w:sz w:val="20"/>
                <w:szCs w:val="20"/>
              </w:rPr>
              <w:t>timeline</w:t>
            </w:r>
            <w:r>
              <w:rPr>
                <w:sz w:val="20"/>
                <w:szCs w:val="20"/>
              </w:rPr>
              <w:t>).</w:t>
            </w:r>
          </w:p>
        </w:tc>
      </w:tr>
      <w:tr w:rsidR="00A8192B" w:rsidRPr="00B40E50" w14:paraId="4A7FF672" w14:textId="77777777" w:rsidTr="008F2659">
        <w:tc>
          <w:tcPr>
            <w:tcW w:w="2430" w:type="dxa"/>
          </w:tcPr>
          <w:p w14:paraId="2B948D33" w14:textId="77777777" w:rsidR="00A8192B" w:rsidRPr="002C7BD9" w:rsidRDefault="00150E16" w:rsidP="00C53CDE">
            <w:pPr>
              <w:pStyle w:val="BodyText"/>
              <w:spacing w:line="240" w:lineRule="auto"/>
              <w:jc w:val="left"/>
              <w:rPr>
                <w:b/>
                <w:bCs/>
                <w:sz w:val="20"/>
                <w:szCs w:val="20"/>
              </w:rPr>
            </w:pPr>
            <w:r>
              <w:rPr>
                <w:b/>
                <w:bCs/>
                <w:sz w:val="20"/>
                <w:szCs w:val="20"/>
              </w:rPr>
              <w:t>Memo to LSCFN and AAM dated 12/11/2014, re: Comments on Mount Nansen Cost Estimate Refinement, from Bill Slater Environmental Consulting</w:t>
            </w:r>
          </w:p>
        </w:tc>
        <w:tc>
          <w:tcPr>
            <w:tcW w:w="5310" w:type="dxa"/>
          </w:tcPr>
          <w:p w14:paraId="7CF9B3C4" w14:textId="77777777" w:rsidR="00A8192B" w:rsidRPr="00C53CDE" w:rsidRDefault="00A8192B" w:rsidP="00A8192B">
            <w:pPr>
              <w:pStyle w:val="BodyText"/>
              <w:numPr>
                <w:ilvl w:val="0"/>
                <w:numId w:val="31"/>
              </w:numPr>
              <w:spacing w:line="240" w:lineRule="auto"/>
              <w:ind w:left="360"/>
              <w:jc w:val="left"/>
              <w:rPr>
                <w:sz w:val="20"/>
                <w:szCs w:val="20"/>
              </w:rPr>
            </w:pPr>
            <w:r w:rsidRPr="00A8192B">
              <w:rPr>
                <w:sz w:val="20"/>
                <w:szCs w:val="20"/>
              </w:rPr>
              <w:t xml:space="preserve">The scope of this review may not have been broad enough. It would have been valuable to have a </w:t>
            </w:r>
            <w:r>
              <w:rPr>
                <w:sz w:val="20"/>
                <w:szCs w:val="20"/>
              </w:rPr>
              <w:br/>
            </w:r>
            <w:r w:rsidRPr="00A8192B">
              <w:rPr>
                <w:sz w:val="20"/>
                <w:szCs w:val="20"/>
              </w:rPr>
              <w:t>re-evaluation of each of the work items to determine if all were needed, and a rigorous evaluation of alternatives to the major cost items (i</w:t>
            </w:r>
            <w:r>
              <w:rPr>
                <w:sz w:val="20"/>
                <w:szCs w:val="20"/>
              </w:rPr>
              <w:t>.</w:t>
            </w:r>
            <w:r w:rsidRPr="00A8192B">
              <w:rPr>
                <w:sz w:val="20"/>
                <w:szCs w:val="20"/>
              </w:rPr>
              <w:t>e.</w:t>
            </w:r>
            <w:r>
              <w:rPr>
                <w:sz w:val="20"/>
                <w:szCs w:val="20"/>
              </w:rPr>
              <w:t>,</w:t>
            </w:r>
            <w:r w:rsidRPr="00A8192B">
              <w:rPr>
                <w:sz w:val="20"/>
                <w:szCs w:val="20"/>
              </w:rPr>
              <w:t xml:space="preserve"> dewatering and subsequent transportation of relatively dry tailings versus methods to handle and transport wet tailings). Further, it would have been helpful if some </w:t>
            </w:r>
            <w:r w:rsidRPr="00A8192B">
              <w:rPr>
                <w:sz w:val="20"/>
                <w:szCs w:val="20"/>
              </w:rPr>
              <w:lastRenderedPageBreak/>
              <w:t>of the alternative approaches that would result in cost reductions that AMEC proposes to investigate in the 60% Design Phase were evaluated and included during this cost refinement exercise.</w:t>
            </w:r>
          </w:p>
        </w:tc>
        <w:tc>
          <w:tcPr>
            <w:tcW w:w="5310" w:type="dxa"/>
          </w:tcPr>
          <w:p w14:paraId="12726908" w14:textId="77777777" w:rsidR="00A8192B" w:rsidRDefault="00A8192B" w:rsidP="00C81EA8">
            <w:pPr>
              <w:pStyle w:val="BodyText"/>
              <w:numPr>
                <w:ilvl w:val="0"/>
                <w:numId w:val="31"/>
              </w:numPr>
              <w:spacing w:line="240" w:lineRule="auto"/>
              <w:ind w:left="360"/>
              <w:jc w:val="left"/>
              <w:rPr>
                <w:sz w:val="20"/>
                <w:szCs w:val="20"/>
              </w:rPr>
            </w:pPr>
            <w:r>
              <w:rPr>
                <w:sz w:val="20"/>
                <w:szCs w:val="20"/>
              </w:rPr>
              <w:lastRenderedPageBreak/>
              <w:t xml:space="preserve">The basic approach to design development, both during Phase 1 and during this cost review, has been to conserve available resources of time and funding by advancing a single Design Base Case that represents the design team’s consensus on the most likely compilation of execution methods for Option 4. The selection of specific components of this Base Case has been, and will continue to be, validated as </w:t>
            </w:r>
            <w:r>
              <w:rPr>
                <w:sz w:val="20"/>
                <w:szCs w:val="20"/>
              </w:rPr>
              <w:lastRenderedPageBreak/>
              <w:t>the design is advanced. This basic approach was adopted as a more efficient alternative to advancing multiple variants to comparable levels of design development before committing to one alternative.</w:t>
            </w:r>
          </w:p>
          <w:p w14:paraId="4A341114" w14:textId="77777777" w:rsidR="00A8192B" w:rsidRDefault="00A8192B" w:rsidP="009C6448">
            <w:pPr>
              <w:pStyle w:val="BodyText"/>
              <w:numPr>
                <w:ilvl w:val="0"/>
                <w:numId w:val="31"/>
              </w:numPr>
              <w:spacing w:line="240" w:lineRule="auto"/>
              <w:ind w:left="360"/>
              <w:jc w:val="left"/>
              <w:rPr>
                <w:sz w:val="20"/>
                <w:szCs w:val="20"/>
              </w:rPr>
            </w:pPr>
            <w:r>
              <w:rPr>
                <w:sz w:val="20"/>
                <w:szCs w:val="20"/>
              </w:rPr>
              <w:t>It was always understood (see report Section 3.3) that this cost review would not reflect the design development activity proposed for the 60% Design Phase. This is because of the need to reconcile project cost estimates with funding constraints before a commitment can be offered to proceed with Phase</w:t>
            </w:r>
            <w:r w:rsidR="009C6448">
              <w:rPr>
                <w:sz w:val="20"/>
                <w:szCs w:val="20"/>
              </w:rPr>
              <w:t> </w:t>
            </w:r>
            <w:r>
              <w:rPr>
                <w:sz w:val="20"/>
                <w:szCs w:val="20"/>
              </w:rPr>
              <w:t>2.</w:t>
            </w:r>
          </w:p>
        </w:tc>
      </w:tr>
      <w:tr w:rsidR="00A8192B" w:rsidRPr="00B40E50" w14:paraId="64DE539E" w14:textId="77777777" w:rsidTr="008F2659">
        <w:trPr>
          <w:cantSplit/>
        </w:trPr>
        <w:tc>
          <w:tcPr>
            <w:tcW w:w="2430" w:type="dxa"/>
          </w:tcPr>
          <w:p w14:paraId="2A1E4683" w14:textId="77777777" w:rsidR="00A8192B" w:rsidRPr="002C7BD9" w:rsidRDefault="00A8192B" w:rsidP="00C53CDE">
            <w:pPr>
              <w:pStyle w:val="BodyText"/>
              <w:spacing w:line="240" w:lineRule="auto"/>
              <w:jc w:val="left"/>
              <w:rPr>
                <w:b/>
                <w:bCs/>
                <w:sz w:val="20"/>
                <w:szCs w:val="20"/>
              </w:rPr>
            </w:pPr>
            <w:r>
              <w:rPr>
                <w:b/>
                <w:bCs/>
                <w:sz w:val="20"/>
                <w:szCs w:val="20"/>
              </w:rPr>
              <w:lastRenderedPageBreak/>
              <w:t>1.4.3 Paragraph 2</w:t>
            </w:r>
          </w:p>
        </w:tc>
        <w:tc>
          <w:tcPr>
            <w:tcW w:w="5310" w:type="dxa"/>
          </w:tcPr>
          <w:p w14:paraId="6683D3EC" w14:textId="77777777" w:rsidR="00A8192B" w:rsidRPr="00C53CDE" w:rsidRDefault="00A8192B" w:rsidP="00A8192B">
            <w:pPr>
              <w:pStyle w:val="BodyText"/>
              <w:numPr>
                <w:ilvl w:val="0"/>
                <w:numId w:val="31"/>
              </w:numPr>
              <w:spacing w:line="240" w:lineRule="auto"/>
              <w:ind w:left="360"/>
              <w:jc w:val="left"/>
              <w:rPr>
                <w:sz w:val="20"/>
                <w:szCs w:val="20"/>
              </w:rPr>
            </w:pPr>
            <w:r w:rsidRPr="00A8192B">
              <w:rPr>
                <w:sz w:val="20"/>
                <w:szCs w:val="20"/>
              </w:rPr>
              <w:t xml:space="preserve">… </w:t>
            </w:r>
            <w:proofErr w:type="gramStart"/>
            <w:r w:rsidRPr="00A8192B">
              <w:rPr>
                <w:sz w:val="20"/>
                <w:szCs w:val="20"/>
              </w:rPr>
              <w:t>defining</w:t>
            </w:r>
            <w:proofErr w:type="gramEnd"/>
            <w:r w:rsidRPr="00A8192B">
              <w:rPr>
                <w:sz w:val="20"/>
                <w:szCs w:val="20"/>
              </w:rPr>
              <w:t xml:space="preserve"> a consensus range for the most sensitive quantities. Please clarify which parties will participate in this consensus.</w:t>
            </w:r>
          </w:p>
        </w:tc>
        <w:tc>
          <w:tcPr>
            <w:tcW w:w="5310" w:type="dxa"/>
          </w:tcPr>
          <w:p w14:paraId="6A65F7BF" w14:textId="77777777" w:rsidR="00A8192B" w:rsidRDefault="00A8192B" w:rsidP="00C81EA8">
            <w:pPr>
              <w:pStyle w:val="BodyText"/>
              <w:numPr>
                <w:ilvl w:val="0"/>
                <w:numId w:val="31"/>
              </w:numPr>
              <w:spacing w:line="240" w:lineRule="auto"/>
              <w:ind w:left="360"/>
              <w:jc w:val="left"/>
              <w:rPr>
                <w:sz w:val="20"/>
                <w:szCs w:val="20"/>
              </w:rPr>
            </w:pPr>
            <w:r>
              <w:rPr>
                <w:sz w:val="20"/>
                <w:szCs w:val="20"/>
              </w:rPr>
              <w:t>The design team, and the Partners during report reviews, and the 23 October cost workshop.</w:t>
            </w:r>
          </w:p>
        </w:tc>
      </w:tr>
      <w:tr w:rsidR="00A8192B" w:rsidRPr="00B40E50" w14:paraId="4E40C7A8" w14:textId="77777777" w:rsidTr="008F2659">
        <w:trPr>
          <w:cantSplit/>
        </w:trPr>
        <w:tc>
          <w:tcPr>
            <w:tcW w:w="2430" w:type="dxa"/>
          </w:tcPr>
          <w:p w14:paraId="403AD08E" w14:textId="77777777" w:rsidR="00A8192B" w:rsidRDefault="00A8192B" w:rsidP="00C53CDE">
            <w:pPr>
              <w:pStyle w:val="BodyText"/>
              <w:spacing w:line="240" w:lineRule="auto"/>
              <w:jc w:val="left"/>
              <w:rPr>
                <w:b/>
                <w:bCs/>
                <w:sz w:val="20"/>
                <w:szCs w:val="20"/>
              </w:rPr>
            </w:pPr>
            <w:r>
              <w:rPr>
                <w:b/>
                <w:bCs/>
                <w:sz w:val="20"/>
                <w:szCs w:val="20"/>
              </w:rPr>
              <w:t>2.4.2 Detailed Estimate Reconciliation</w:t>
            </w:r>
          </w:p>
        </w:tc>
        <w:tc>
          <w:tcPr>
            <w:tcW w:w="5310" w:type="dxa"/>
          </w:tcPr>
          <w:p w14:paraId="2B5FB09A" w14:textId="77777777" w:rsidR="00A8192B" w:rsidRPr="00A8192B" w:rsidRDefault="00A8192B" w:rsidP="00A8192B">
            <w:pPr>
              <w:pStyle w:val="BodyText"/>
              <w:numPr>
                <w:ilvl w:val="0"/>
                <w:numId w:val="31"/>
              </w:numPr>
              <w:spacing w:line="240" w:lineRule="auto"/>
              <w:ind w:left="360"/>
              <w:jc w:val="left"/>
              <w:rPr>
                <w:sz w:val="20"/>
                <w:szCs w:val="20"/>
              </w:rPr>
            </w:pPr>
            <w:r w:rsidRPr="00A8192B">
              <w:rPr>
                <w:sz w:val="20"/>
                <w:szCs w:val="20"/>
              </w:rPr>
              <w:t>It is recommended that costs for site maintenance between construction seasons, design contingencies and adaptive management items be left in the Cost Estimate. Costs will be incurre</w:t>
            </w:r>
            <w:r>
              <w:rPr>
                <w:sz w:val="20"/>
                <w:szCs w:val="20"/>
              </w:rPr>
              <w:t>d for each of these line items.</w:t>
            </w:r>
          </w:p>
        </w:tc>
        <w:tc>
          <w:tcPr>
            <w:tcW w:w="5310" w:type="dxa"/>
          </w:tcPr>
          <w:p w14:paraId="1106D5B2" w14:textId="77777777" w:rsidR="00A8192B" w:rsidRDefault="00A8192B" w:rsidP="00C81EA8">
            <w:pPr>
              <w:pStyle w:val="BodyText"/>
              <w:numPr>
                <w:ilvl w:val="0"/>
                <w:numId w:val="31"/>
              </w:numPr>
              <w:spacing w:line="240" w:lineRule="auto"/>
              <w:ind w:left="360"/>
              <w:jc w:val="left"/>
              <w:rPr>
                <w:sz w:val="20"/>
                <w:szCs w:val="20"/>
              </w:rPr>
            </w:pPr>
            <w:r>
              <w:rPr>
                <w:sz w:val="20"/>
                <w:szCs w:val="20"/>
              </w:rPr>
              <w:t>These items have been retained in the estimate.</w:t>
            </w:r>
          </w:p>
        </w:tc>
      </w:tr>
      <w:tr w:rsidR="00A8192B" w:rsidRPr="00B40E50" w14:paraId="6810AA30" w14:textId="77777777" w:rsidTr="008F2659">
        <w:trPr>
          <w:cantSplit/>
        </w:trPr>
        <w:tc>
          <w:tcPr>
            <w:tcW w:w="2430" w:type="dxa"/>
          </w:tcPr>
          <w:p w14:paraId="26386880" w14:textId="77777777" w:rsidR="00A8192B" w:rsidRDefault="00A8192B" w:rsidP="00A8192B">
            <w:pPr>
              <w:pStyle w:val="BodyText"/>
              <w:spacing w:line="240" w:lineRule="auto"/>
              <w:jc w:val="left"/>
              <w:rPr>
                <w:b/>
                <w:bCs/>
                <w:sz w:val="20"/>
                <w:szCs w:val="20"/>
              </w:rPr>
            </w:pPr>
            <w:r>
              <w:rPr>
                <w:b/>
                <w:bCs/>
                <w:sz w:val="20"/>
                <w:szCs w:val="20"/>
              </w:rPr>
              <w:t>2.4.2 General method for removing tailings from the TSF</w:t>
            </w:r>
          </w:p>
        </w:tc>
        <w:tc>
          <w:tcPr>
            <w:tcW w:w="5310" w:type="dxa"/>
          </w:tcPr>
          <w:p w14:paraId="5D0DC2A0" w14:textId="77777777" w:rsidR="00A8192B" w:rsidRPr="00A8192B" w:rsidRDefault="00A8192B" w:rsidP="00A8192B">
            <w:pPr>
              <w:pStyle w:val="BodyText"/>
              <w:numPr>
                <w:ilvl w:val="0"/>
                <w:numId w:val="31"/>
              </w:numPr>
              <w:spacing w:line="240" w:lineRule="auto"/>
              <w:ind w:left="360"/>
              <w:jc w:val="left"/>
              <w:rPr>
                <w:sz w:val="20"/>
                <w:szCs w:val="20"/>
              </w:rPr>
            </w:pPr>
            <w:r w:rsidRPr="00A8192B">
              <w:rPr>
                <w:sz w:val="20"/>
                <w:szCs w:val="20"/>
              </w:rPr>
              <w:t>AMEC is proposing a robust approach to dewater the tailings. Some investigation of the risk/benefit of transporting and placing wet tailings is recommended as the costs associated with dewatering, mixing tailings with PAG rock and placing alternating layers of PAG and tailings/PAG mixture is considerable.</w:t>
            </w:r>
          </w:p>
        </w:tc>
        <w:tc>
          <w:tcPr>
            <w:tcW w:w="5310" w:type="dxa"/>
          </w:tcPr>
          <w:p w14:paraId="73F062F1" w14:textId="77777777" w:rsidR="00A8192B" w:rsidRDefault="00A8192B" w:rsidP="00C81EA8">
            <w:pPr>
              <w:pStyle w:val="BodyText"/>
              <w:numPr>
                <w:ilvl w:val="0"/>
                <w:numId w:val="31"/>
              </w:numPr>
              <w:spacing w:line="240" w:lineRule="auto"/>
              <w:ind w:left="360"/>
              <w:jc w:val="left"/>
              <w:rPr>
                <w:sz w:val="20"/>
                <w:szCs w:val="20"/>
              </w:rPr>
            </w:pPr>
            <w:r>
              <w:rPr>
                <w:sz w:val="20"/>
                <w:szCs w:val="20"/>
              </w:rPr>
              <w:t xml:space="preserve">As noted in Sections 4.3 and 7.3, this would require a reconsideration of the key </w:t>
            </w:r>
            <w:r w:rsidR="00150E16">
              <w:rPr>
                <w:sz w:val="20"/>
                <w:szCs w:val="20"/>
              </w:rPr>
              <w:t>tenet</w:t>
            </w:r>
            <w:r>
              <w:rPr>
                <w:sz w:val="20"/>
                <w:szCs w:val="20"/>
              </w:rPr>
              <w:t>s of Option 4 (specifically the “Stable Surfaces” and “Water Quality” Driving Project Criteria) because of the impacts of wet tailings relocation on the stability and performance of the pit cover, and on downstream surface water quality.</w:t>
            </w:r>
          </w:p>
        </w:tc>
      </w:tr>
      <w:tr w:rsidR="00A8192B" w:rsidRPr="00B40E50" w14:paraId="176954E2" w14:textId="77777777" w:rsidTr="005C0BE1">
        <w:tc>
          <w:tcPr>
            <w:tcW w:w="2430" w:type="dxa"/>
          </w:tcPr>
          <w:p w14:paraId="625DF057" w14:textId="77777777" w:rsidR="00A8192B" w:rsidRDefault="00A8192B" w:rsidP="00A8192B">
            <w:pPr>
              <w:pStyle w:val="BodyText"/>
              <w:spacing w:line="240" w:lineRule="auto"/>
              <w:jc w:val="left"/>
              <w:rPr>
                <w:b/>
                <w:bCs/>
                <w:sz w:val="20"/>
                <w:szCs w:val="20"/>
              </w:rPr>
            </w:pPr>
            <w:r>
              <w:rPr>
                <w:b/>
                <w:bCs/>
                <w:sz w:val="20"/>
                <w:szCs w:val="20"/>
              </w:rPr>
              <w:t>2.4.2 Water treatment</w:t>
            </w:r>
          </w:p>
        </w:tc>
        <w:tc>
          <w:tcPr>
            <w:tcW w:w="5310" w:type="dxa"/>
          </w:tcPr>
          <w:p w14:paraId="48DA31F1" w14:textId="77777777" w:rsidR="00A8192B" w:rsidRPr="00A8192B" w:rsidRDefault="00A8192B" w:rsidP="00A8192B">
            <w:pPr>
              <w:pStyle w:val="BodyText"/>
              <w:numPr>
                <w:ilvl w:val="0"/>
                <w:numId w:val="31"/>
              </w:numPr>
              <w:spacing w:line="240" w:lineRule="auto"/>
              <w:ind w:left="360"/>
              <w:jc w:val="left"/>
              <w:rPr>
                <w:sz w:val="20"/>
                <w:szCs w:val="20"/>
              </w:rPr>
            </w:pPr>
            <w:r w:rsidRPr="00A8192B">
              <w:rPr>
                <w:sz w:val="20"/>
                <w:szCs w:val="20"/>
              </w:rPr>
              <w:t>The approximate $5 million discrepancy between AECOM and AMEC’s estimates is largely due to AECOM proposing a smaller water treatment plant. Utilization of a smaller plant, and the cost/benefits and scheduling adaptations associated with a smaller water treatment plant should be evaluated.</w:t>
            </w:r>
          </w:p>
        </w:tc>
        <w:tc>
          <w:tcPr>
            <w:tcW w:w="5310" w:type="dxa"/>
          </w:tcPr>
          <w:p w14:paraId="1CA4676B" w14:textId="77777777" w:rsidR="00A8192B" w:rsidRDefault="00A8192B" w:rsidP="00C81EA8">
            <w:pPr>
              <w:pStyle w:val="BodyText"/>
              <w:numPr>
                <w:ilvl w:val="0"/>
                <w:numId w:val="31"/>
              </w:numPr>
              <w:spacing w:line="240" w:lineRule="auto"/>
              <w:ind w:left="360"/>
              <w:jc w:val="left"/>
              <w:rPr>
                <w:sz w:val="20"/>
                <w:szCs w:val="20"/>
              </w:rPr>
            </w:pPr>
            <w:r>
              <w:rPr>
                <w:sz w:val="20"/>
                <w:szCs w:val="20"/>
              </w:rPr>
              <w:t>This evaluation is part of the Phase 2 (60% Design Development) scope that has been deferred pending completion and consideration of the cost review.</w:t>
            </w:r>
          </w:p>
          <w:p w14:paraId="75BAB973" w14:textId="2A45AD07" w:rsidR="00F84418" w:rsidRDefault="00F84418" w:rsidP="005C0BE1">
            <w:pPr>
              <w:pStyle w:val="BodyText"/>
              <w:numPr>
                <w:ilvl w:val="0"/>
                <w:numId w:val="31"/>
              </w:numPr>
              <w:spacing w:line="240" w:lineRule="auto"/>
              <w:ind w:left="360"/>
              <w:jc w:val="left"/>
              <w:rPr>
                <w:sz w:val="20"/>
                <w:szCs w:val="20"/>
              </w:rPr>
            </w:pPr>
            <w:r>
              <w:rPr>
                <w:sz w:val="20"/>
                <w:szCs w:val="20"/>
              </w:rPr>
              <w:t>Note that p</w:t>
            </w:r>
            <w:r w:rsidRPr="00F84418">
              <w:rPr>
                <w:sz w:val="20"/>
                <w:szCs w:val="20"/>
              </w:rPr>
              <w:t xml:space="preserve">ost Phase 1 treatability testing undertaken during the 2014 SI program suggests that a 15% reduction in the scope of the treatment capability can likely be defended. This reduction </w:t>
            </w:r>
            <w:r>
              <w:rPr>
                <w:sz w:val="20"/>
                <w:szCs w:val="20"/>
              </w:rPr>
              <w:t>was</w:t>
            </w:r>
            <w:r w:rsidRPr="00F84418">
              <w:rPr>
                <w:sz w:val="20"/>
                <w:szCs w:val="20"/>
              </w:rPr>
              <w:t xml:space="preserve"> reflected in the lower bound sensitivity assessment</w:t>
            </w:r>
            <w:r>
              <w:rPr>
                <w:sz w:val="20"/>
                <w:szCs w:val="20"/>
              </w:rPr>
              <w:t xml:space="preserve"> (Table 4.1-1 of the Cost Review)</w:t>
            </w:r>
            <w:r w:rsidRPr="00F84418">
              <w:rPr>
                <w:sz w:val="20"/>
                <w:szCs w:val="20"/>
              </w:rPr>
              <w:t>.</w:t>
            </w:r>
            <w:r w:rsidR="005C0BE1">
              <w:rPr>
                <w:sz w:val="20"/>
                <w:szCs w:val="20"/>
              </w:rPr>
              <w:t xml:space="preserve"> </w:t>
            </w:r>
            <w:r w:rsidRPr="00F84418">
              <w:rPr>
                <w:sz w:val="20"/>
                <w:szCs w:val="20"/>
              </w:rPr>
              <w:t xml:space="preserve">In addition, a general 20% reduction in treatment scope/cost </w:t>
            </w:r>
            <w:r>
              <w:rPr>
                <w:sz w:val="20"/>
                <w:szCs w:val="20"/>
              </w:rPr>
              <w:t>was</w:t>
            </w:r>
            <w:r w:rsidRPr="00F84418">
              <w:rPr>
                <w:sz w:val="20"/>
                <w:szCs w:val="20"/>
              </w:rPr>
              <w:t xml:space="preserve"> applied </w:t>
            </w:r>
            <w:r>
              <w:rPr>
                <w:sz w:val="20"/>
                <w:szCs w:val="20"/>
              </w:rPr>
              <w:t xml:space="preserve">in the lower bound assessment </w:t>
            </w:r>
            <w:r w:rsidRPr="00F84418">
              <w:rPr>
                <w:sz w:val="20"/>
                <w:szCs w:val="20"/>
              </w:rPr>
              <w:t xml:space="preserve">to reflect AMEC’s </w:t>
            </w:r>
            <w:r w:rsidRPr="00F84418">
              <w:rPr>
                <w:sz w:val="20"/>
                <w:szCs w:val="20"/>
              </w:rPr>
              <w:lastRenderedPageBreak/>
              <w:t>judgement about the potential outcome of the storage vs. capacity optimization planned for Phase 2.</w:t>
            </w:r>
          </w:p>
        </w:tc>
      </w:tr>
      <w:tr w:rsidR="00A8192B" w:rsidRPr="00B40E50" w14:paraId="19230D3F" w14:textId="77777777" w:rsidTr="008F2659">
        <w:trPr>
          <w:cantSplit/>
        </w:trPr>
        <w:tc>
          <w:tcPr>
            <w:tcW w:w="2430" w:type="dxa"/>
          </w:tcPr>
          <w:p w14:paraId="3EEA2F5A" w14:textId="77777777" w:rsidR="00A8192B" w:rsidRDefault="00A8192B" w:rsidP="00A8192B">
            <w:pPr>
              <w:pStyle w:val="BodyText"/>
              <w:spacing w:line="240" w:lineRule="auto"/>
              <w:jc w:val="left"/>
              <w:rPr>
                <w:b/>
                <w:bCs/>
                <w:sz w:val="20"/>
                <w:szCs w:val="20"/>
              </w:rPr>
            </w:pPr>
            <w:r>
              <w:rPr>
                <w:b/>
                <w:bCs/>
                <w:sz w:val="20"/>
                <w:szCs w:val="20"/>
              </w:rPr>
              <w:lastRenderedPageBreak/>
              <w:t>2.4.2 Removal of hazardous materials from site</w:t>
            </w:r>
          </w:p>
        </w:tc>
        <w:tc>
          <w:tcPr>
            <w:tcW w:w="5310" w:type="dxa"/>
          </w:tcPr>
          <w:p w14:paraId="392773F3" w14:textId="77777777" w:rsidR="00A8192B" w:rsidRPr="00A8192B" w:rsidRDefault="00A8192B" w:rsidP="00A8192B">
            <w:pPr>
              <w:pStyle w:val="BodyText"/>
              <w:numPr>
                <w:ilvl w:val="0"/>
                <w:numId w:val="31"/>
              </w:numPr>
              <w:spacing w:line="240" w:lineRule="auto"/>
              <w:ind w:left="360"/>
              <w:jc w:val="left"/>
              <w:rPr>
                <w:sz w:val="20"/>
                <w:szCs w:val="20"/>
              </w:rPr>
            </w:pPr>
            <w:r w:rsidRPr="00A8192B">
              <w:rPr>
                <w:sz w:val="20"/>
                <w:szCs w:val="20"/>
              </w:rPr>
              <w:t>AMEC states that costs associated with this item will likely be lowered in the 60% design phase. It is recommended that AAM investigate the requirements to store hazardous materials on site so that costs associated with this line item can be refined prior to the 60% design phase.</w:t>
            </w:r>
          </w:p>
        </w:tc>
        <w:tc>
          <w:tcPr>
            <w:tcW w:w="5310" w:type="dxa"/>
          </w:tcPr>
          <w:p w14:paraId="39980C77" w14:textId="77777777" w:rsidR="00A8192B" w:rsidRDefault="00123692" w:rsidP="00C81EA8">
            <w:pPr>
              <w:pStyle w:val="BodyText"/>
              <w:numPr>
                <w:ilvl w:val="0"/>
                <w:numId w:val="31"/>
              </w:numPr>
              <w:spacing w:line="240" w:lineRule="auto"/>
              <w:ind w:left="360"/>
              <w:jc w:val="left"/>
              <w:rPr>
                <w:sz w:val="20"/>
                <w:szCs w:val="20"/>
              </w:rPr>
            </w:pPr>
            <w:r>
              <w:rPr>
                <w:sz w:val="20"/>
                <w:szCs w:val="20"/>
              </w:rPr>
              <w:t>This evaluation is part of the Phase 2 (60% Design Development) scope that has been deferred pending completion and consideration of the cost review.</w:t>
            </w:r>
          </w:p>
        </w:tc>
      </w:tr>
      <w:tr w:rsidR="00123692" w:rsidRPr="00B40E50" w14:paraId="1AE2BBD7" w14:textId="77777777" w:rsidTr="008F2659">
        <w:trPr>
          <w:cantSplit/>
        </w:trPr>
        <w:tc>
          <w:tcPr>
            <w:tcW w:w="2430" w:type="dxa"/>
          </w:tcPr>
          <w:p w14:paraId="70BFDF75" w14:textId="77777777" w:rsidR="00123692" w:rsidRDefault="00123692" w:rsidP="00A8192B">
            <w:pPr>
              <w:pStyle w:val="BodyText"/>
              <w:spacing w:line="240" w:lineRule="auto"/>
              <w:jc w:val="left"/>
              <w:rPr>
                <w:b/>
                <w:bCs/>
                <w:sz w:val="20"/>
                <w:szCs w:val="20"/>
              </w:rPr>
            </w:pPr>
            <w:r>
              <w:rPr>
                <w:b/>
                <w:bCs/>
                <w:sz w:val="20"/>
                <w:szCs w:val="20"/>
              </w:rPr>
              <w:t>Table 3.2-1 Item 4: Water Treatment Plant</w:t>
            </w:r>
          </w:p>
        </w:tc>
        <w:tc>
          <w:tcPr>
            <w:tcW w:w="5310" w:type="dxa"/>
          </w:tcPr>
          <w:p w14:paraId="0BEC86D7" w14:textId="77777777" w:rsidR="00123692" w:rsidRPr="00A8192B" w:rsidRDefault="00123692" w:rsidP="00123692">
            <w:pPr>
              <w:pStyle w:val="BodyText"/>
              <w:numPr>
                <w:ilvl w:val="0"/>
                <w:numId w:val="31"/>
              </w:numPr>
              <w:spacing w:line="240" w:lineRule="auto"/>
              <w:ind w:left="360"/>
              <w:jc w:val="left"/>
              <w:rPr>
                <w:sz w:val="20"/>
                <w:szCs w:val="20"/>
              </w:rPr>
            </w:pPr>
            <w:r w:rsidRPr="00123692">
              <w:rPr>
                <w:sz w:val="20"/>
                <w:szCs w:val="20"/>
              </w:rPr>
              <w:t>Costing assumes a large, fixed treatment plant. An evaluation of treatment alternatives including scheduling adjustment that would permit use of a smaller treatment plant would be useful</w:t>
            </w:r>
          </w:p>
        </w:tc>
        <w:tc>
          <w:tcPr>
            <w:tcW w:w="5310" w:type="dxa"/>
          </w:tcPr>
          <w:p w14:paraId="55F57D34" w14:textId="77777777" w:rsidR="00123692" w:rsidRDefault="00123692" w:rsidP="00C81EA8">
            <w:pPr>
              <w:pStyle w:val="BodyText"/>
              <w:numPr>
                <w:ilvl w:val="0"/>
                <w:numId w:val="31"/>
              </w:numPr>
              <w:spacing w:line="240" w:lineRule="auto"/>
              <w:ind w:left="360"/>
              <w:jc w:val="left"/>
              <w:rPr>
                <w:sz w:val="20"/>
                <w:szCs w:val="20"/>
              </w:rPr>
            </w:pPr>
            <w:r>
              <w:rPr>
                <w:sz w:val="20"/>
                <w:szCs w:val="20"/>
              </w:rPr>
              <w:t>This evaluation is part of the Phase 2 (60% Design Development) scope that has been deferred pending completion and consideration of the cost review.</w:t>
            </w:r>
          </w:p>
          <w:p w14:paraId="0BFD98FC" w14:textId="3238B59B" w:rsidR="00F84418" w:rsidRDefault="00F84418" w:rsidP="005C0BE1">
            <w:pPr>
              <w:pStyle w:val="BodyText"/>
              <w:numPr>
                <w:ilvl w:val="0"/>
                <w:numId w:val="31"/>
              </w:numPr>
              <w:spacing w:line="240" w:lineRule="auto"/>
              <w:ind w:left="360"/>
              <w:jc w:val="left"/>
              <w:rPr>
                <w:sz w:val="20"/>
                <w:szCs w:val="20"/>
              </w:rPr>
            </w:pPr>
            <w:r>
              <w:rPr>
                <w:sz w:val="20"/>
                <w:szCs w:val="20"/>
              </w:rPr>
              <w:t>Note that p</w:t>
            </w:r>
            <w:r w:rsidRPr="00F84418">
              <w:rPr>
                <w:sz w:val="20"/>
                <w:szCs w:val="20"/>
              </w:rPr>
              <w:t xml:space="preserve">ost Phase 1 treatability testing undertaken during the 2014 SI program suggests that a 15% reduction in the scope of the treatment capability can likely be defended. This reduction </w:t>
            </w:r>
            <w:r>
              <w:rPr>
                <w:sz w:val="20"/>
                <w:szCs w:val="20"/>
              </w:rPr>
              <w:t>was</w:t>
            </w:r>
            <w:r w:rsidRPr="00F84418">
              <w:rPr>
                <w:sz w:val="20"/>
                <w:szCs w:val="20"/>
              </w:rPr>
              <w:t xml:space="preserve"> reflected in the lower bound sensitivity assessment</w:t>
            </w:r>
            <w:r>
              <w:rPr>
                <w:sz w:val="20"/>
                <w:szCs w:val="20"/>
              </w:rPr>
              <w:t xml:space="preserve"> (Table 4.1-1 of the Cost Review)</w:t>
            </w:r>
            <w:r w:rsidRPr="00F84418">
              <w:rPr>
                <w:sz w:val="20"/>
                <w:szCs w:val="20"/>
              </w:rPr>
              <w:t>.</w:t>
            </w:r>
            <w:r w:rsidR="005C0BE1">
              <w:rPr>
                <w:sz w:val="20"/>
                <w:szCs w:val="20"/>
              </w:rPr>
              <w:t xml:space="preserve"> </w:t>
            </w:r>
            <w:r w:rsidRPr="00F84418">
              <w:rPr>
                <w:sz w:val="20"/>
                <w:szCs w:val="20"/>
              </w:rPr>
              <w:t xml:space="preserve">In addition, a general 20% reduction in treatment scope/cost </w:t>
            </w:r>
            <w:r>
              <w:rPr>
                <w:sz w:val="20"/>
                <w:szCs w:val="20"/>
              </w:rPr>
              <w:t>was</w:t>
            </w:r>
            <w:r w:rsidRPr="00F84418">
              <w:rPr>
                <w:sz w:val="20"/>
                <w:szCs w:val="20"/>
              </w:rPr>
              <w:t xml:space="preserve"> applied </w:t>
            </w:r>
            <w:r>
              <w:rPr>
                <w:sz w:val="20"/>
                <w:szCs w:val="20"/>
              </w:rPr>
              <w:t xml:space="preserve">in the lower bound assessment </w:t>
            </w:r>
            <w:r w:rsidRPr="00F84418">
              <w:rPr>
                <w:sz w:val="20"/>
                <w:szCs w:val="20"/>
              </w:rPr>
              <w:t>to reflect AMEC’s judgement about the potential outcome of the storage vs. capacity optimization planned for Phase 2.</w:t>
            </w:r>
          </w:p>
        </w:tc>
      </w:tr>
      <w:tr w:rsidR="00123692" w:rsidRPr="00B40E50" w14:paraId="290078B2" w14:textId="77777777" w:rsidTr="008F2659">
        <w:trPr>
          <w:cantSplit/>
        </w:trPr>
        <w:tc>
          <w:tcPr>
            <w:tcW w:w="2430" w:type="dxa"/>
          </w:tcPr>
          <w:p w14:paraId="074CD4BE" w14:textId="77777777" w:rsidR="00123692" w:rsidRDefault="00123692" w:rsidP="00A8192B">
            <w:pPr>
              <w:pStyle w:val="BodyText"/>
              <w:spacing w:line="240" w:lineRule="auto"/>
              <w:jc w:val="left"/>
              <w:rPr>
                <w:b/>
                <w:bCs/>
                <w:sz w:val="20"/>
                <w:szCs w:val="20"/>
              </w:rPr>
            </w:pPr>
            <w:r>
              <w:rPr>
                <w:b/>
                <w:bCs/>
                <w:sz w:val="20"/>
                <w:szCs w:val="20"/>
              </w:rPr>
              <w:t>Table 3.2-1 Item 6: Dewatering</w:t>
            </w:r>
          </w:p>
        </w:tc>
        <w:tc>
          <w:tcPr>
            <w:tcW w:w="5310" w:type="dxa"/>
          </w:tcPr>
          <w:p w14:paraId="298A21E4" w14:textId="77777777" w:rsidR="00123692" w:rsidRPr="00123692" w:rsidRDefault="00123692" w:rsidP="00123692">
            <w:pPr>
              <w:pStyle w:val="BodyText"/>
              <w:numPr>
                <w:ilvl w:val="0"/>
                <w:numId w:val="31"/>
              </w:numPr>
              <w:spacing w:line="240" w:lineRule="auto"/>
              <w:ind w:left="360"/>
              <w:jc w:val="left"/>
              <w:rPr>
                <w:sz w:val="20"/>
                <w:szCs w:val="20"/>
              </w:rPr>
            </w:pPr>
            <w:r w:rsidRPr="00123692">
              <w:rPr>
                <w:sz w:val="20"/>
                <w:szCs w:val="20"/>
              </w:rPr>
              <w:t>This line item still assumes that dewatering is necessary. Alternatives to dewatering should be investigated and evaluated.</w:t>
            </w:r>
          </w:p>
        </w:tc>
        <w:tc>
          <w:tcPr>
            <w:tcW w:w="5310" w:type="dxa"/>
          </w:tcPr>
          <w:p w14:paraId="3342E964" w14:textId="77777777" w:rsidR="00123692" w:rsidRDefault="00123692" w:rsidP="00123692">
            <w:pPr>
              <w:pStyle w:val="BodyText"/>
              <w:numPr>
                <w:ilvl w:val="0"/>
                <w:numId w:val="31"/>
              </w:numPr>
              <w:spacing w:line="240" w:lineRule="auto"/>
              <w:ind w:left="360"/>
              <w:jc w:val="left"/>
              <w:rPr>
                <w:sz w:val="20"/>
                <w:szCs w:val="20"/>
              </w:rPr>
            </w:pPr>
            <w:r>
              <w:rPr>
                <w:sz w:val="20"/>
                <w:szCs w:val="20"/>
              </w:rPr>
              <w:t>See above response to comment “2.4.2 General method for removing tailings from the TSF”.</w:t>
            </w:r>
          </w:p>
        </w:tc>
      </w:tr>
      <w:tr w:rsidR="00123692" w:rsidRPr="00B40E50" w14:paraId="736B66A0" w14:textId="77777777" w:rsidTr="008F2659">
        <w:trPr>
          <w:cantSplit/>
        </w:trPr>
        <w:tc>
          <w:tcPr>
            <w:tcW w:w="2430" w:type="dxa"/>
          </w:tcPr>
          <w:p w14:paraId="12231690" w14:textId="77777777" w:rsidR="00123692" w:rsidRDefault="00123692" w:rsidP="00A8192B">
            <w:pPr>
              <w:pStyle w:val="BodyText"/>
              <w:spacing w:line="240" w:lineRule="auto"/>
              <w:jc w:val="left"/>
              <w:rPr>
                <w:b/>
                <w:bCs/>
                <w:sz w:val="20"/>
                <w:szCs w:val="20"/>
              </w:rPr>
            </w:pPr>
            <w:r>
              <w:rPr>
                <w:b/>
                <w:bCs/>
                <w:sz w:val="20"/>
                <w:szCs w:val="20"/>
              </w:rPr>
              <w:t>Table 3.2-1 Item 8: Design Contingencies and Adaptive Management</w:t>
            </w:r>
          </w:p>
        </w:tc>
        <w:tc>
          <w:tcPr>
            <w:tcW w:w="5310" w:type="dxa"/>
          </w:tcPr>
          <w:p w14:paraId="67255A3E" w14:textId="77777777" w:rsidR="00123692" w:rsidRPr="00123692" w:rsidRDefault="00123692" w:rsidP="00123692">
            <w:pPr>
              <w:pStyle w:val="BodyText"/>
              <w:numPr>
                <w:ilvl w:val="0"/>
                <w:numId w:val="31"/>
              </w:numPr>
              <w:spacing w:line="240" w:lineRule="auto"/>
              <w:ind w:left="360"/>
              <w:jc w:val="left"/>
              <w:rPr>
                <w:sz w:val="20"/>
                <w:szCs w:val="20"/>
              </w:rPr>
            </w:pPr>
            <w:r w:rsidRPr="00123692">
              <w:rPr>
                <w:sz w:val="20"/>
                <w:szCs w:val="20"/>
              </w:rPr>
              <w:t>As discussed during the October 23 meeting, these costs may be removed from the design cost estimate, however they must be identified in some place.</w:t>
            </w:r>
          </w:p>
        </w:tc>
        <w:tc>
          <w:tcPr>
            <w:tcW w:w="5310" w:type="dxa"/>
          </w:tcPr>
          <w:p w14:paraId="1F03E4C0" w14:textId="77777777" w:rsidR="00123692" w:rsidRDefault="00123692" w:rsidP="00150E16">
            <w:pPr>
              <w:pStyle w:val="BodyText"/>
              <w:numPr>
                <w:ilvl w:val="0"/>
                <w:numId w:val="31"/>
              </w:numPr>
              <w:spacing w:line="240" w:lineRule="auto"/>
              <w:ind w:left="360"/>
              <w:jc w:val="left"/>
              <w:rPr>
                <w:sz w:val="20"/>
                <w:szCs w:val="20"/>
              </w:rPr>
            </w:pPr>
            <w:r>
              <w:rPr>
                <w:sz w:val="20"/>
                <w:szCs w:val="20"/>
              </w:rPr>
              <w:t>The treatment of these costs is typical</w:t>
            </w:r>
            <w:r w:rsidR="00150E16">
              <w:rPr>
                <w:sz w:val="20"/>
                <w:szCs w:val="20"/>
              </w:rPr>
              <w:t>ly a</w:t>
            </w:r>
            <w:r>
              <w:rPr>
                <w:sz w:val="20"/>
                <w:szCs w:val="20"/>
              </w:rPr>
              <w:t xml:space="preserve"> function of the estimating and accounting policies of the client organizations). For the purposes of AMEC’s cost review document, they have been retained as discrete line items in the estimate, cost reconciliation and sensitivity assessment.</w:t>
            </w:r>
          </w:p>
        </w:tc>
      </w:tr>
    </w:tbl>
    <w:p w14:paraId="7A4CEFE6" w14:textId="77777777" w:rsidR="00B51547" w:rsidRPr="002E59CE" w:rsidRDefault="00B51547" w:rsidP="002E59CE">
      <w:pPr>
        <w:pStyle w:val="BodyText"/>
        <w:spacing w:line="240" w:lineRule="auto"/>
        <w:jc w:val="left"/>
      </w:pPr>
    </w:p>
    <w:sectPr w:rsidR="00B51547" w:rsidRPr="002E59CE" w:rsidSect="009F2C26">
      <w:headerReference w:type="default" r:id="rId11"/>
      <w:footerReference w:type="default" r:id="rId12"/>
      <w:headerReference w:type="first" r:id="rId13"/>
      <w:footerReference w:type="first" r:id="rId14"/>
      <w:type w:val="continuous"/>
      <w:pgSz w:w="15842" w:h="12242" w:orient="landscape" w:code="1"/>
      <w:pgMar w:top="1728" w:right="1440" w:bottom="1152" w:left="1440" w:header="720" w:footer="72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ABF00" w14:textId="77777777" w:rsidR="00704FCF" w:rsidRDefault="00704FCF">
      <w:r>
        <w:separator/>
      </w:r>
    </w:p>
  </w:endnote>
  <w:endnote w:type="continuationSeparator" w:id="0">
    <w:p w14:paraId="7804B8E1" w14:textId="77777777" w:rsidR="00704FCF" w:rsidRDefault="0070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C3316" w14:textId="77777777" w:rsidR="00704FCF" w:rsidRDefault="00704FCF">
    <w:pPr>
      <w:pStyle w:val="Footer"/>
    </w:pPr>
  </w:p>
  <w:p w14:paraId="5830B200" w14:textId="77777777" w:rsidR="00704FCF" w:rsidRDefault="00966193">
    <w:pPr>
      <w:pStyle w:val="Footer"/>
    </w:pPr>
    <w:r>
      <w:t>AMEC File: VM00605K</w:t>
    </w:r>
  </w:p>
  <w:p w14:paraId="5F299020" w14:textId="77777777" w:rsidR="00704FCF" w:rsidRDefault="00704FCF" w:rsidP="00491AB0">
    <w:pPr>
      <w:pStyle w:val="Footer"/>
      <w:tabs>
        <w:tab w:val="clear" w:pos="9360"/>
        <w:tab w:val="right" w:pos="12960"/>
      </w:tabs>
    </w:pPr>
    <w:r>
      <w:rPr>
        <w:snapToGrid w:val="0"/>
        <w:sz w:val="12"/>
      </w:rPr>
      <w:fldChar w:fldCharType="begin"/>
    </w:r>
    <w:r>
      <w:rPr>
        <w:snapToGrid w:val="0"/>
        <w:sz w:val="12"/>
      </w:rPr>
      <w:instrText xml:space="preserve"> FILENAME \p </w:instrText>
    </w:r>
    <w:r>
      <w:rPr>
        <w:snapToGrid w:val="0"/>
        <w:sz w:val="12"/>
      </w:rPr>
      <w:fldChar w:fldCharType="separate"/>
    </w:r>
    <w:r w:rsidR="00454289">
      <w:rPr>
        <w:noProof/>
        <w:snapToGrid w:val="0"/>
        <w:sz w:val="12"/>
      </w:rPr>
      <w:t>S:\Project Ce\Other\VM00605\CommentLog_Ph1CostEstReview-17dec14.docx</w:t>
    </w:r>
    <w:r>
      <w:rPr>
        <w:snapToGrid w:val="0"/>
        <w:sz w:val="12"/>
      </w:rPr>
      <w:fldChar w:fldCharType="end"/>
    </w:r>
    <w:r>
      <w:rPr>
        <w:snapToGrid w:val="0"/>
      </w:rPr>
      <w:tab/>
      <w:t xml:space="preserve">Page </w:t>
    </w:r>
    <w:r>
      <w:rPr>
        <w:rStyle w:val="PageNumber"/>
      </w:rPr>
      <w:fldChar w:fldCharType="begin"/>
    </w:r>
    <w:r>
      <w:rPr>
        <w:rStyle w:val="PageNumber"/>
      </w:rPr>
      <w:instrText xml:space="preserve"> PAGE </w:instrText>
    </w:r>
    <w:r>
      <w:rPr>
        <w:rStyle w:val="PageNumber"/>
      </w:rPr>
      <w:fldChar w:fldCharType="separate"/>
    </w:r>
    <w:r w:rsidR="00454289">
      <w:rPr>
        <w:rStyle w:val="PageNumber"/>
        <w:noProof/>
      </w:rPr>
      <w:t>13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E6ABD" w14:textId="77777777" w:rsidR="00704FCF" w:rsidRPr="005D68F6" w:rsidRDefault="00704FCF" w:rsidP="008411DA">
    <w:pPr>
      <w:tabs>
        <w:tab w:val="right" w:pos="9360"/>
      </w:tabs>
      <w:spacing w:before="240"/>
      <w:rPr>
        <w:sz w:val="16"/>
        <w:szCs w:val="16"/>
      </w:rPr>
    </w:pPr>
    <w:r w:rsidRPr="005D68F6">
      <w:rPr>
        <w:sz w:val="16"/>
        <w:szCs w:val="16"/>
      </w:rPr>
      <w:t>AMEC Environment &amp; Infrastructure</w:t>
    </w:r>
  </w:p>
  <w:p w14:paraId="0841C3C8" w14:textId="77777777" w:rsidR="00704FCF" w:rsidRPr="005D68F6" w:rsidRDefault="00704FCF" w:rsidP="008411DA">
    <w:pPr>
      <w:tabs>
        <w:tab w:val="right" w:pos="9360"/>
      </w:tabs>
      <w:rPr>
        <w:sz w:val="16"/>
        <w:szCs w:val="16"/>
      </w:rPr>
    </w:pPr>
    <w:r w:rsidRPr="005D68F6">
      <w:rPr>
        <w:sz w:val="16"/>
        <w:szCs w:val="16"/>
      </w:rPr>
      <w:t>A division of AMEC Americas Limited</w:t>
    </w:r>
  </w:p>
  <w:p w14:paraId="5E009171" w14:textId="77777777" w:rsidR="00704FCF" w:rsidRPr="005D68F6" w:rsidRDefault="00704FCF" w:rsidP="008411DA">
    <w:pPr>
      <w:tabs>
        <w:tab w:val="right" w:pos="9360"/>
      </w:tabs>
      <w:rPr>
        <w:sz w:val="16"/>
        <w:szCs w:val="16"/>
      </w:rPr>
    </w:pPr>
    <w:r w:rsidRPr="005D68F6">
      <w:rPr>
        <w:sz w:val="16"/>
        <w:szCs w:val="16"/>
      </w:rPr>
      <w:t>140 Quarry Park Boulevard S.E.</w:t>
    </w:r>
  </w:p>
  <w:p w14:paraId="56D88852" w14:textId="77777777" w:rsidR="00704FCF" w:rsidRPr="005D68F6" w:rsidRDefault="00704FCF" w:rsidP="008411DA">
    <w:pPr>
      <w:tabs>
        <w:tab w:val="right" w:pos="9360"/>
      </w:tabs>
      <w:rPr>
        <w:sz w:val="16"/>
        <w:szCs w:val="16"/>
      </w:rPr>
    </w:pPr>
    <w:r w:rsidRPr="005D68F6">
      <w:rPr>
        <w:sz w:val="16"/>
        <w:szCs w:val="16"/>
      </w:rPr>
      <w:t xml:space="preserve">Calgary, Alberta, </w:t>
    </w:r>
    <w:proofErr w:type="gramStart"/>
    <w:r w:rsidRPr="005D68F6">
      <w:rPr>
        <w:sz w:val="16"/>
        <w:szCs w:val="16"/>
      </w:rPr>
      <w:t>CANADA  T2C</w:t>
    </w:r>
    <w:proofErr w:type="gramEnd"/>
    <w:r w:rsidRPr="005D68F6">
      <w:rPr>
        <w:sz w:val="16"/>
        <w:szCs w:val="16"/>
      </w:rPr>
      <w:t xml:space="preserve"> 3G3</w:t>
    </w:r>
  </w:p>
  <w:p w14:paraId="4BF29DAF" w14:textId="77777777" w:rsidR="00704FCF" w:rsidRPr="005D68F6" w:rsidRDefault="00704FCF" w:rsidP="008411DA">
    <w:pPr>
      <w:tabs>
        <w:tab w:val="left" w:pos="360"/>
        <w:tab w:val="right" w:pos="9360"/>
      </w:tabs>
      <w:rPr>
        <w:sz w:val="16"/>
        <w:szCs w:val="16"/>
      </w:rPr>
    </w:pPr>
    <w:r w:rsidRPr="005D68F6">
      <w:rPr>
        <w:sz w:val="16"/>
        <w:szCs w:val="16"/>
      </w:rPr>
      <w:t>Tel</w:t>
    </w:r>
    <w:r w:rsidRPr="005D68F6">
      <w:rPr>
        <w:sz w:val="16"/>
        <w:szCs w:val="16"/>
      </w:rPr>
      <w:tab/>
      <w:t>+ 1 (403) 248-4331</w:t>
    </w:r>
  </w:p>
  <w:p w14:paraId="359831FE" w14:textId="77777777" w:rsidR="00704FCF" w:rsidRPr="005D68F6" w:rsidRDefault="00704FCF" w:rsidP="008411DA">
    <w:pPr>
      <w:tabs>
        <w:tab w:val="left" w:pos="360"/>
        <w:tab w:val="right" w:pos="9360"/>
      </w:tabs>
      <w:rPr>
        <w:sz w:val="16"/>
        <w:szCs w:val="16"/>
      </w:rPr>
    </w:pPr>
    <w:r w:rsidRPr="005D68F6">
      <w:rPr>
        <w:sz w:val="16"/>
        <w:szCs w:val="16"/>
      </w:rPr>
      <w:t>Fax</w:t>
    </w:r>
    <w:r w:rsidRPr="005D68F6">
      <w:rPr>
        <w:sz w:val="16"/>
        <w:szCs w:val="16"/>
      </w:rPr>
      <w:tab/>
      <w:t>+ 1 (403) 248-2188</w:t>
    </w:r>
  </w:p>
  <w:p w14:paraId="2AC2BAEF" w14:textId="77777777" w:rsidR="00704FCF" w:rsidRPr="007D3E75" w:rsidRDefault="00704FCF" w:rsidP="008411DA">
    <w:pPr>
      <w:tabs>
        <w:tab w:val="right" w:pos="12960"/>
      </w:tabs>
      <w:rPr>
        <w:sz w:val="12"/>
        <w:szCs w:val="12"/>
      </w:rPr>
    </w:pPr>
    <w:r w:rsidRPr="005D68F6">
      <w:rPr>
        <w:sz w:val="16"/>
        <w:szCs w:val="16"/>
      </w:rPr>
      <w:t>www.amec.com</w:t>
    </w:r>
    <w:r>
      <w:rPr>
        <w:sz w:val="14"/>
      </w:rPr>
      <w:tab/>
    </w:r>
    <w:r w:rsidR="00966193" w:rsidRPr="007D3E75">
      <w:rPr>
        <w:sz w:val="12"/>
        <w:szCs w:val="12"/>
      </w:rPr>
      <w:fldChar w:fldCharType="begin"/>
    </w:r>
    <w:r w:rsidR="00966193" w:rsidRPr="007D3E75">
      <w:rPr>
        <w:sz w:val="12"/>
        <w:szCs w:val="12"/>
      </w:rPr>
      <w:instrText xml:space="preserve"> FILENAME  \p  \* MERGEFORMAT </w:instrText>
    </w:r>
    <w:r w:rsidR="00966193" w:rsidRPr="007D3E75">
      <w:rPr>
        <w:sz w:val="12"/>
        <w:szCs w:val="12"/>
      </w:rPr>
      <w:fldChar w:fldCharType="separate"/>
    </w:r>
    <w:r w:rsidR="00454289">
      <w:rPr>
        <w:noProof/>
        <w:sz w:val="12"/>
        <w:szCs w:val="12"/>
      </w:rPr>
      <w:t>S:\Project Ce\Other\VM00605\CommentLog_Ph1CostEstReview-17dec14.docx</w:t>
    </w:r>
    <w:r w:rsidR="00966193" w:rsidRPr="007D3E75">
      <w:rPr>
        <w:noProof/>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A0219" w14:textId="77777777" w:rsidR="00704FCF" w:rsidRDefault="00704FCF">
      <w:r>
        <w:separator/>
      </w:r>
    </w:p>
  </w:footnote>
  <w:footnote w:type="continuationSeparator" w:id="0">
    <w:p w14:paraId="42759F2B" w14:textId="77777777" w:rsidR="00704FCF" w:rsidRDefault="00704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DFB42" w14:textId="77777777" w:rsidR="00704FCF" w:rsidRPr="00531BBD" w:rsidRDefault="00704FCF" w:rsidP="00491AB0">
    <w:pPr>
      <w:pStyle w:val="Header"/>
      <w:rPr>
        <w:noProof/>
        <w:sz w:val="16"/>
        <w:szCs w:val="16"/>
        <w:lang w:eastAsia="en-CA"/>
      </w:rPr>
    </w:pPr>
    <w:r w:rsidRPr="00531BBD">
      <w:rPr>
        <w:noProof/>
        <w:sz w:val="16"/>
        <w:szCs w:val="16"/>
        <w:lang w:eastAsia="en-CA"/>
      </w:rPr>
      <w:drawing>
        <wp:anchor distT="0" distB="0" distL="114300" distR="114300" simplePos="0" relativeHeight="251659264" behindDoc="0" locked="0" layoutInCell="1" allowOverlap="1" wp14:anchorId="3C247182" wp14:editId="5D236031">
          <wp:simplePos x="0" y="0"/>
          <wp:positionH relativeFrom="margin">
            <wp:align>right</wp:align>
          </wp:positionH>
          <wp:positionV relativeFrom="paragraph">
            <wp:posOffset>0</wp:posOffset>
          </wp:positionV>
          <wp:extent cx="1309370" cy="518160"/>
          <wp:effectExtent l="19050" t="0" r="5080" b="0"/>
          <wp:wrapNone/>
          <wp:docPr id="2" name="Picture 10" descr="amec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meccol"/>
                  <pic:cNvPicPr>
                    <a:picLocks noChangeAspect="1" noChangeArrowheads="1"/>
                  </pic:cNvPicPr>
                </pic:nvPicPr>
                <pic:blipFill>
                  <a:blip r:embed="rId1"/>
                  <a:srcRect/>
                  <a:stretch>
                    <a:fillRect/>
                  </a:stretch>
                </pic:blipFill>
                <pic:spPr bwMode="auto">
                  <a:xfrm>
                    <a:off x="0" y="0"/>
                    <a:ext cx="1311910" cy="518160"/>
                  </a:xfrm>
                  <a:prstGeom prst="rect">
                    <a:avLst/>
                  </a:prstGeom>
                  <a:noFill/>
                  <a:ln w="9525">
                    <a:noFill/>
                    <a:miter lim="800000"/>
                    <a:headEnd/>
                    <a:tailEnd/>
                  </a:ln>
                </pic:spPr>
              </pic:pic>
            </a:graphicData>
          </a:graphic>
        </wp:anchor>
      </w:drawing>
    </w:r>
    <w:r w:rsidRPr="00531BBD">
      <w:rPr>
        <w:noProof/>
        <w:sz w:val="16"/>
        <w:szCs w:val="16"/>
        <w:lang w:eastAsia="en-CA"/>
      </w:rPr>
      <w:t>Assessment and Abandoned Mines, Energy Mines and Resources</w:t>
    </w:r>
  </w:p>
  <w:p w14:paraId="7E1CFDD2" w14:textId="77777777" w:rsidR="00704FCF" w:rsidRPr="00531BBD" w:rsidRDefault="00704FCF" w:rsidP="00491AB0">
    <w:pPr>
      <w:pStyle w:val="Header"/>
      <w:rPr>
        <w:sz w:val="16"/>
        <w:szCs w:val="16"/>
      </w:rPr>
    </w:pPr>
    <w:r w:rsidRPr="00531BBD">
      <w:rPr>
        <w:sz w:val="16"/>
        <w:szCs w:val="16"/>
      </w:rPr>
      <w:t>Mount Nansen Remediation Project</w:t>
    </w:r>
    <w:r>
      <w:rPr>
        <w:sz w:val="16"/>
        <w:szCs w:val="16"/>
      </w:rPr>
      <w:t xml:space="preserve"> - Project Proposal</w:t>
    </w:r>
  </w:p>
  <w:p w14:paraId="3942623E" w14:textId="77777777" w:rsidR="00704FCF" w:rsidRPr="00531BBD" w:rsidRDefault="007D3E75">
    <w:pPr>
      <w:pStyle w:val="Header"/>
      <w:rPr>
        <w:sz w:val="16"/>
        <w:szCs w:val="16"/>
      </w:rPr>
    </w:pPr>
    <w:r w:rsidRPr="007D3E75">
      <w:rPr>
        <w:sz w:val="16"/>
        <w:szCs w:val="16"/>
      </w:rPr>
      <w:t xml:space="preserve">Review of </w:t>
    </w:r>
    <w:r w:rsidR="00150E16">
      <w:rPr>
        <w:sz w:val="16"/>
        <w:szCs w:val="16"/>
      </w:rPr>
      <w:t>Phase 1 (</w:t>
    </w:r>
    <w:r w:rsidR="00150E16" w:rsidRPr="007D3E75">
      <w:rPr>
        <w:sz w:val="16"/>
        <w:szCs w:val="16"/>
      </w:rPr>
      <w:t>30% Design Phase</w:t>
    </w:r>
    <w:r w:rsidR="00150E16">
      <w:rPr>
        <w:sz w:val="16"/>
        <w:szCs w:val="16"/>
      </w:rPr>
      <w:t>)</w:t>
    </w:r>
    <w:r w:rsidR="00150E16" w:rsidRPr="007D3E75">
      <w:rPr>
        <w:sz w:val="16"/>
        <w:szCs w:val="16"/>
      </w:rPr>
      <w:t xml:space="preserve"> </w:t>
    </w:r>
    <w:r w:rsidRPr="007D3E75">
      <w:rPr>
        <w:sz w:val="16"/>
        <w:szCs w:val="16"/>
      </w:rPr>
      <w:t>Cost Estimate Scope and Bases</w:t>
    </w:r>
  </w:p>
  <w:p w14:paraId="42BFAF3A" w14:textId="011506F3" w:rsidR="00704FCF" w:rsidRPr="00531BBD" w:rsidRDefault="00C77177">
    <w:pPr>
      <w:pStyle w:val="Header"/>
      <w:rPr>
        <w:sz w:val="16"/>
        <w:szCs w:val="16"/>
      </w:rPr>
    </w:pPr>
    <w:r>
      <w:rPr>
        <w:sz w:val="16"/>
        <w:szCs w:val="16"/>
      </w:rPr>
      <w:t>21</w:t>
    </w:r>
    <w:r w:rsidR="007D3E75">
      <w:rPr>
        <w:sz w:val="16"/>
        <w:szCs w:val="16"/>
      </w:rPr>
      <w:t xml:space="preserve"> November</w:t>
    </w:r>
    <w:r w:rsidR="00704FCF">
      <w:rPr>
        <w:sz w:val="16"/>
        <w:szCs w:val="16"/>
      </w:rPr>
      <w:t xml:space="preserve"> </w:t>
    </w:r>
    <w:r w:rsidR="00704FCF" w:rsidRPr="00531BBD">
      <w:rPr>
        <w:sz w:val="16"/>
        <w:szCs w:val="16"/>
      </w:rPr>
      <w:t>2014</w:t>
    </w:r>
    <w:r w:rsidR="001C7611">
      <w:rPr>
        <w:sz w:val="16"/>
        <w:szCs w:val="16"/>
      </w:rPr>
      <w:t>, 18 December 2014</w:t>
    </w:r>
  </w:p>
  <w:p w14:paraId="4EB22195" w14:textId="77777777" w:rsidR="00704FCF" w:rsidRPr="00531BBD" w:rsidRDefault="00704FCF">
    <w:pPr>
      <w:pStyle w:val="Header"/>
      <w:rPr>
        <w:sz w:val="16"/>
        <w:szCs w:val="16"/>
      </w:rPr>
    </w:pPr>
  </w:p>
  <w:p w14:paraId="22BF1EFB" w14:textId="77777777" w:rsidR="00704FCF" w:rsidRPr="00531BBD" w:rsidRDefault="00704FCF">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7A1C0" w14:textId="77777777" w:rsidR="00704FCF" w:rsidRDefault="00704FCF">
    <w:pPr>
      <w:pStyle w:val="Header"/>
    </w:pPr>
    <w:r w:rsidRPr="008411DA">
      <w:rPr>
        <w:noProof/>
        <w:lang w:eastAsia="en-CA"/>
      </w:rPr>
      <w:drawing>
        <wp:anchor distT="0" distB="0" distL="114300" distR="114300" simplePos="0" relativeHeight="251661312" behindDoc="0" locked="0" layoutInCell="1" allowOverlap="1" wp14:anchorId="312E1B15" wp14:editId="50D1C1F4">
          <wp:simplePos x="0" y="0"/>
          <wp:positionH relativeFrom="margin">
            <wp:align>right</wp:align>
          </wp:positionH>
          <wp:positionV relativeFrom="paragraph">
            <wp:posOffset>0</wp:posOffset>
          </wp:positionV>
          <wp:extent cx="1309370" cy="518160"/>
          <wp:effectExtent l="19050" t="0" r="5080" b="0"/>
          <wp:wrapNone/>
          <wp:docPr id="3" name="Picture 10" descr="amec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meccol"/>
                  <pic:cNvPicPr>
                    <a:picLocks noChangeAspect="1" noChangeArrowheads="1"/>
                  </pic:cNvPicPr>
                </pic:nvPicPr>
                <pic:blipFill>
                  <a:blip r:embed="rId1"/>
                  <a:srcRect/>
                  <a:stretch>
                    <a:fillRect/>
                  </a:stretch>
                </pic:blipFill>
                <pic:spPr bwMode="auto">
                  <a:xfrm>
                    <a:off x="0" y="0"/>
                    <a:ext cx="1311910" cy="5181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5400C2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71C545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B423CF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014F31A"/>
    <w:lvl w:ilvl="0">
      <w:start w:val="1"/>
      <w:numFmt w:val="decimal"/>
      <w:pStyle w:val="ListNumber2"/>
      <w:lvlText w:val="%1."/>
      <w:lvlJc w:val="left"/>
      <w:pPr>
        <w:tabs>
          <w:tab w:val="num" w:pos="720"/>
        </w:tabs>
        <w:ind w:left="720" w:hanging="360"/>
      </w:pPr>
    </w:lvl>
  </w:abstractNum>
  <w:abstractNum w:abstractNumId="4">
    <w:nsid w:val="FFFFFF80"/>
    <w:multiLevelType w:val="singleLevel"/>
    <w:tmpl w:val="C3066E9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95A60F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EB0B59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DE484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F2648F6"/>
    <w:lvl w:ilvl="0">
      <w:start w:val="1"/>
      <w:numFmt w:val="decimal"/>
      <w:pStyle w:val="ListNumber"/>
      <w:lvlText w:val="%1."/>
      <w:lvlJc w:val="left"/>
      <w:pPr>
        <w:tabs>
          <w:tab w:val="num" w:pos="360"/>
        </w:tabs>
        <w:ind w:left="360" w:hanging="360"/>
      </w:pPr>
    </w:lvl>
  </w:abstractNum>
  <w:abstractNum w:abstractNumId="9">
    <w:nsid w:val="FFFFFF89"/>
    <w:multiLevelType w:val="singleLevel"/>
    <w:tmpl w:val="82F6905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A4043"/>
    <w:multiLevelType w:val="multilevel"/>
    <w:tmpl w:val="2AE85644"/>
    <w:lvl w:ilvl="0">
      <w:start w:val="1"/>
      <w:numFmt w:val="upperLetter"/>
      <w:pStyle w:val="Appendix"/>
      <w:suff w:val="space"/>
      <w:lvlText w:val="Appendix %1"/>
      <w:lvlJc w:val="left"/>
      <w:pPr>
        <w:ind w:left="-4680" w:firstLine="4680"/>
      </w:pPr>
      <w:rPr>
        <w:rFonts w:ascii="Arial" w:hAnsi="Arial" w:hint="default"/>
        <w:b/>
        <w:i w:val="0"/>
        <w:caps/>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11">
    <w:nsid w:val="18400F11"/>
    <w:multiLevelType w:val="multilevel"/>
    <w:tmpl w:val="186E7A78"/>
    <w:lvl w:ilvl="0">
      <w:start w:val="1"/>
      <w:numFmt w:val="decimal"/>
      <w:pStyle w:val="Heading1"/>
      <w:lvlText w:val="%1.0"/>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19E227A5"/>
    <w:multiLevelType w:val="hybridMultilevel"/>
    <w:tmpl w:val="BD04F0E0"/>
    <w:lvl w:ilvl="0" w:tplc="38F69F4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5A85B5C"/>
    <w:multiLevelType w:val="hybridMultilevel"/>
    <w:tmpl w:val="5E0A37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B296D5F"/>
    <w:multiLevelType w:val="hybridMultilevel"/>
    <w:tmpl w:val="788AC720"/>
    <w:lvl w:ilvl="0" w:tplc="7696FA5E">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nsid w:val="30027D03"/>
    <w:multiLevelType w:val="hybridMultilevel"/>
    <w:tmpl w:val="6ECC17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3B2012A"/>
    <w:multiLevelType w:val="hybridMultilevel"/>
    <w:tmpl w:val="EF145E16"/>
    <w:lvl w:ilvl="0" w:tplc="AC7A5B82">
      <w:numFmt w:val="bullet"/>
      <w:lvlText w:val="-"/>
      <w:lvlJc w:val="left"/>
      <w:pPr>
        <w:ind w:left="1080" w:hanging="360"/>
      </w:pPr>
      <w:rPr>
        <w:rFonts w:ascii="Times New Roman" w:eastAsia="Times New Roman" w:hAnsi="Times New Roman"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nsid w:val="42311BE0"/>
    <w:multiLevelType w:val="hybridMultilevel"/>
    <w:tmpl w:val="373AF5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4F52559"/>
    <w:multiLevelType w:val="hybridMultilevel"/>
    <w:tmpl w:val="FE688DFA"/>
    <w:lvl w:ilvl="0" w:tplc="AC7A5B82">
      <w:numFmt w:val="bullet"/>
      <w:lvlText w:val="-"/>
      <w:lvlJc w:val="left"/>
      <w:pPr>
        <w:ind w:left="1080" w:hanging="360"/>
      </w:pPr>
      <w:rPr>
        <w:rFonts w:ascii="Times New Roman" w:eastAsia="Times New Roman" w:hAnsi="Times New Roman" w:cs="Times New Roman" w:hint="default"/>
      </w:rPr>
    </w:lvl>
    <w:lvl w:ilvl="1" w:tplc="368C190A">
      <w:start w:val="1"/>
      <w:numFmt w:val="bullet"/>
      <w:lvlText w:val=""/>
      <w:lvlJc w:val="left"/>
      <w:pPr>
        <w:ind w:left="1800" w:hanging="360"/>
      </w:pPr>
      <w:rPr>
        <w:rFonts w:ascii="Symbol" w:hAnsi="Symbo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nsid w:val="490228B6"/>
    <w:multiLevelType w:val="hybridMultilevel"/>
    <w:tmpl w:val="05EEC534"/>
    <w:lvl w:ilvl="0" w:tplc="061CD18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C10464A"/>
    <w:multiLevelType w:val="hybridMultilevel"/>
    <w:tmpl w:val="AE00DE00"/>
    <w:lvl w:ilvl="0" w:tplc="A5CAE53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5F5A472D"/>
    <w:multiLevelType w:val="multilevel"/>
    <w:tmpl w:val="C82E0DB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nsid w:val="6F6D084D"/>
    <w:multiLevelType w:val="hybridMultilevel"/>
    <w:tmpl w:val="E85EF25A"/>
    <w:lvl w:ilvl="0" w:tplc="061CD182">
      <w:start w:val="1"/>
      <w:numFmt w:val="bullet"/>
      <w:pStyle w:val="AMEC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2CE118C"/>
    <w:multiLevelType w:val="hybridMultilevel"/>
    <w:tmpl w:val="962A5C4C"/>
    <w:lvl w:ilvl="0" w:tplc="061CD18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EC3503B"/>
    <w:multiLevelType w:val="hybridMultilevel"/>
    <w:tmpl w:val="11FC4C22"/>
    <w:lvl w:ilvl="0" w:tplc="2B2A4F18">
      <w:start w:val="1"/>
      <w:numFmt w:val="decimal"/>
      <w:pStyle w:val="AMEC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24"/>
  </w:num>
  <w:num w:numId="3">
    <w:abstractNumId w:val="10"/>
  </w:num>
  <w:num w:numId="4">
    <w:abstractNumId w:val="21"/>
  </w:num>
  <w:num w:numId="5">
    <w:abstractNumId w:val="21"/>
  </w:num>
  <w:num w:numId="6">
    <w:abstractNumId w:val="21"/>
  </w:num>
  <w:num w:numId="7">
    <w:abstractNumId w:val="21"/>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11"/>
  </w:num>
  <w:num w:numId="21">
    <w:abstractNumId w:val="11"/>
  </w:num>
  <w:num w:numId="22">
    <w:abstractNumId w:val="12"/>
  </w:num>
  <w:num w:numId="23">
    <w:abstractNumId w:val="19"/>
  </w:num>
  <w:num w:numId="24">
    <w:abstractNumId w:val="23"/>
  </w:num>
  <w:num w:numId="25">
    <w:abstractNumId w:val="14"/>
  </w:num>
  <w:num w:numId="26">
    <w:abstractNumId w:val="15"/>
  </w:num>
  <w:num w:numId="27">
    <w:abstractNumId w:val="16"/>
  </w:num>
  <w:num w:numId="28">
    <w:abstractNumId w:val="18"/>
  </w:num>
  <w:num w:numId="29">
    <w:abstractNumId w:val="17"/>
  </w:num>
  <w:num w:numId="30">
    <w:abstractNumId w:val="20"/>
  </w:num>
  <w:num w:numId="3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4D6"/>
    <w:rsid w:val="00006566"/>
    <w:rsid w:val="0002436A"/>
    <w:rsid w:val="00026533"/>
    <w:rsid w:val="0003378F"/>
    <w:rsid w:val="00035E09"/>
    <w:rsid w:val="0003639A"/>
    <w:rsid w:val="0003661E"/>
    <w:rsid w:val="000425F0"/>
    <w:rsid w:val="000630AE"/>
    <w:rsid w:val="000855C9"/>
    <w:rsid w:val="000A0366"/>
    <w:rsid w:val="000B0675"/>
    <w:rsid w:val="000B4F66"/>
    <w:rsid w:val="000C3424"/>
    <w:rsid w:val="000C3AA4"/>
    <w:rsid w:val="000D5D40"/>
    <w:rsid w:val="000E1FB9"/>
    <w:rsid w:val="000E4DA2"/>
    <w:rsid w:val="00110E16"/>
    <w:rsid w:val="00120617"/>
    <w:rsid w:val="00123692"/>
    <w:rsid w:val="00131076"/>
    <w:rsid w:val="00142156"/>
    <w:rsid w:val="00150E16"/>
    <w:rsid w:val="00156630"/>
    <w:rsid w:val="00191FA8"/>
    <w:rsid w:val="00196531"/>
    <w:rsid w:val="001979A0"/>
    <w:rsid w:val="001B64BF"/>
    <w:rsid w:val="001C2F0B"/>
    <w:rsid w:val="001C528B"/>
    <w:rsid w:val="001C7611"/>
    <w:rsid w:val="001C7B4B"/>
    <w:rsid w:val="001D1E70"/>
    <w:rsid w:val="001D2CF9"/>
    <w:rsid w:val="001D2E76"/>
    <w:rsid w:val="001E7650"/>
    <w:rsid w:val="00201812"/>
    <w:rsid w:val="0020256B"/>
    <w:rsid w:val="00212670"/>
    <w:rsid w:val="0022003A"/>
    <w:rsid w:val="0022184D"/>
    <w:rsid w:val="002325A6"/>
    <w:rsid w:val="002425A0"/>
    <w:rsid w:val="00247F93"/>
    <w:rsid w:val="00263802"/>
    <w:rsid w:val="00273D52"/>
    <w:rsid w:val="002751DB"/>
    <w:rsid w:val="00276F47"/>
    <w:rsid w:val="00281A99"/>
    <w:rsid w:val="00284705"/>
    <w:rsid w:val="00286E4C"/>
    <w:rsid w:val="002A63A0"/>
    <w:rsid w:val="002B5427"/>
    <w:rsid w:val="002B636E"/>
    <w:rsid w:val="002C7BD9"/>
    <w:rsid w:val="002D53D9"/>
    <w:rsid w:val="002E335C"/>
    <w:rsid w:val="002E59CE"/>
    <w:rsid w:val="0030304A"/>
    <w:rsid w:val="003164F2"/>
    <w:rsid w:val="00316CE3"/>
    <w:rsid w:val="00320972"/>
    <w:rsid w:val="00320A6B"/>
    <w:rsid w:val="00321C1F"/>
    <w:rsid w:val="00356AE7"/>
    <w:rsid w:val="0036217E"/>
    <w:rsid w:val="003638BB"/>
    <w:rsid w:val="00365822"/>
    <w:rsid w:val="00366070"/>
    <w:rsid w:val="003667F5"/>
    <w:rsid w:val="00371039"/>
    <w:rsid w:val="0037631E"/>
    <w:rsid w:val="003855F6"/>
    <w:rsid w:val="003A3508"/>
    <w:rsid w:val="00441267"/>
    <w:rsid w:val="00454289"/>
    <w:rsid w:val="00481BFF"/>
    <w:rsid w:val="00483358"/>
    <w:rsid w:val="0048616F"/>
    <w:rsid w:val="00491AB0"/>
    <w:rsid w:val="004A225E"/>
    <w:rsid w:val="004C222D"/>
    <w:rsid w:val="004C4978"/>
    <w:rsid w:val="004C739E"/>
    <w:rsid w:val="004D2FCA"/>
    <w:rsid w:val="004F0FDB"/>
    <w:rsid w:val="005015A3"/>
    <w:rsid w:val="00512F8B"/>
    <w:rsid w:val="00513216"/>
    <w:rsid w:val="00522761"/>
    <w:rsid w:val="00525C54"/>
    <w:rsid w:val="00531BBD"/>
    <w:rsid w:val="0053396C"/>
    <w:rsid w:val="00547E10"/>
    <w:rsid w:val="00575C5B"/>
    <w:rsid w:val="00591A4D"/>
    <w:rsid w:val="005C0BE1"/>
    <w:rsid w:val="005C0F1A"/>
    <w:rsid w:val="005C7FA1"/>
    <w:rsid w:val="005D4AD6"/>
    <w:rsid w:val="005D68F6"/>
    <w:rsid w:val="005E4B92"/>
    <w:rsid w:val="005E6960"/>
    <w:rsid w:val="005F31E6"/>
    <w:rsid w:val="005F74C1"/>
    <w:rsid w:val="00617442"/>
    <w:rsid w:val="006215F7"/>
    <w:rsid w:val="006452CE"/>
    <w:rsid w:val="00661582"/>
    <w:rsid w:val="00663B18"/>
    <w:rsid w:val="0067008C"/>
    <w:rsid w:val="006846E6"/>
    <w:rsid w:val="006A2602"/>
    <w:rsid w:val="006D1C30"/>
    <w:rsid w:val="006D7986"/>
    <w:rsid w:val="006F4E96"/>
    <w:rsid w:val="006F5B12"/>
    <w:rsid w:val="00701D43"/>
    <w:rsid w:val="00704FCF"/>
    <w:rsid w:val="00705112"/>
    <w:rsid w:val="00712ECB"/>
    <w:rsid w:val="0071721F"/>
    <w:rsid w:val="0072080D"/>
    <w:rsid w:val="00722173"/>
    <w:rsid w:val="0078136E"/>
    <w:rsid w:val="007832A3"/>
    <w:rsid w:val="00784125"/>
    <w:rsid w:val="0078431F"/>
    <w:rsid w:val="007B78C5"/>
    <w:rsid w:val="007C24CF"/>
    <w:rsid w:val="007C26DD"/>
    <w:rsid w:val="007C3537"/>
    <w:rsid w:val="007D3E75"/>
    <w:rsid w:val="007E36AD"/>
    <w:rsid w:val="007E6363"/>
    <w:rsid w:val="00805597"/>
    <w:rsid w:val="008072DF"/>
    <w:rsid w:val="00813D46"/>
    <w:rsid w:val="0081655C"/>
    <w:rsid w:val="00821C2C"/>
    <w:rsid w:val="00823949"/>
    <w:rsid w:val="00836FCD"/>
    <w:rsid w:val="008411DA"/>
    <w:rsid w:val="00846B49"/>
    <w:rsid w:val="00875F72"/>
    <w:rsid w:val="008827C5"/>
    <w:rsid w:val="00887955"/>
    <w:rsid w:val="00891F3D"/>
    <w:rsid w:val="008B72DB"/>
    <w:rsid w:val="008D5B0F"/>
    <w:rsid w:val="008E2566"/>
    <w:rsid w:val="008F1F43"/>
    <w:rsid w:val="008F2659"/>
    <w:rsid w:val="009035AA"/>
    <w:rsid w:val="0091558C"/>
    <w:rsid w:val="00920891"/>
    <w:rsid w:val="009261A4"/>
    <w:rsid w:val="00964DD7"/>
    <w:rsid w:val="00966193"/>
    <w:rsid w:val="009744E6"/>
    <w:rsid w:val="00975F07"/>
    <w:rsid w:val="0097714C"/>
    <w:rsid w:val="00977669"/>
    <w:rsid w:val="00982509"/>
    <w:rsid w:val="00992D5E"/>
    <w:rsid w:val="009A070B"/>
    <w:rsid w:val="009B2D7F"/>
    <w:rsid w:val="009C107F"/>
    <w:rsid w:val="009C6448"/>
    <w:rsid w:val="009E7BA6"/>
    <w:rsid w:val="009F2C26"/>
    <w:rsid w:val="009F72F4"/>
    <w:rsid w:val="00A00EBC"/>
    <w:rsid w:val="00A024DE"/>
    <w:rsid w:val="00A108C4"/>
    <w:rsid w:val="00A14864"/>
    <w:rsid w:val="00A163F0"/>
    <w:rsid w:val="00A2101C"/>
    <w:rsid w:val="00A25923"/>
    <w:rsid w:val="00A61522"/>
    <w:rsid w:val="00A677A7"/>
    <w:rsid w:val="00A7524E"/>
    <w:rsid w:val="00A7677E"/>
    <w:rsid w:val="00A8192B"/>
    <w:rsid w:val="00A84E65"/>
    <w:rsid w:val="00A91919"/>
    <w:rsid w:val="00A9619C"/>
    <w:rsid w:val="00AA127B"/>
    <w:rsid w:val="00AA15EE"/>
    <w:rsid w:val="00AD404B"/>
    <w:rsid w:val="00AE59BF"/>
    <w:rsid w:val="00B00965"/>
    <w:rsid w:val="00B030AD"/>
    <w:rsid w:val="00B14DE2"/>
    <w:rsid w:val="00B2000A"/>
    <w:rsid w:val="00B228EF"/>
    <w:rsid w:val="00B279F9"/>
    <w:rsid w:val="00B3338F"/>
    <w:rsid w:val="00B40E50"/>
    <w:rsid w:val="00B444C4"/>
    <w:rsid w:val="00B51547"/>
    <w:rsid w:val="00B5311F"/>
    <w:rsid w:val="00B53327"/>
    <w:rsid w:val="00B65D64"/>
    <w:rsid w:val="00B7233E"/>
    <w:rsid w:val="00B73112"/>
    <w:rsid w:val="00B851F4"/>
    <w:rsid w:val="00B9299F"/>
    <w:rsid w:val="00BA3AA8"/>
    <w:rsid w:val="00BC413A"/>
    <w:rsid w:val="00BD680B"/>
    <w:rsid w:val="00BE5B71"/>
    <w:rsid w:val="00C01D07"/>
    <w:rsid w:val="00C17CF1"/>
    <w:rsid w:val="00C21C3A"/>
    <w:rsid w:val="00C50F6F"/>
    <w:rsid w:val="00C52C02"/>
    <w:rsid w:val="00C53CDE"/>
    <w:rsid w:val="00C74A8C"/>
    <w:rsid w:val="00C77177"/>
    <w:rsid w:val="00C81EA8"/>
    <w:rsid w:val="00C92FEE"/>
    <w:rsid w:val="00C94671"/>
    <w:rsid w:val="00C96C16"/>
    <w:rsid w:val="00CC6DF7"/>
    <w:rsid w:val="00CD4804"/>
    <w:rsid w:val="00CD7AD7"/>
    <w:rsid w:val="00CE3785"/>
    <w:rsid w:val="00CF340C"/>
    <w:rsid w:val="00D15FF3"/>
    <w:rsid w:val="00D43AC8"/>
    <w:rsid w:val="00D4501B"/>
    <w:rsid w:val="00D541BD"/>
    <w:rsid w:val="00D5789D"/>
    <w:rsid w:val="00D644D6"/>
    <w:rsid w:val="00D65888"/>
    <w:rsid w:val="00D8748E"/>
    <w:rsid w:val="00D946F8"/>
    <w:rsid w:val="00D97326"/>
    <w:rsid w:val="00DA0933"/>
    <w:rsid w:val="00DA1F2C"/>
    <w:rsid w:val="00DB7621"/>
    <w:rsid w:val="00DC3283"/>
    <w:rsid w:val="00DE6EAD"/>
    <w:rsid w:val="00DE7F91"/>
    <w:rsid w:val="00E01181"/>
    <w:rsid w:val="00E11476"/>
    <w:rsid w:val="00E314AC"/>
    <w:rsid w:val="00E44362"/>
    <w:rsid w:val="00E56084"/>
    <w:rsid w:val="00E65AD2"/>
    <w:rsid w:val="00E74DA3"/>
    <w:rsid w:val="00E7613D"/>
    <w:rsid w:val="00E76710"/>
    <w:rsid w:val="00E76B17"/>
    <w:rsid w:val="00E87D55"/>
    <w:rsid w:val="00E9528C"/>
    <w:rsid w:val="00EB2FB9"/>
    <w:rsid w:val="00EC0D84"/>
    <w:rsid w:val="00EC13AD"/>
    <w:rsid w:val="00EC3CEB"/>
    <w:rsid w:val="00EC7F21"/>
    <w:rsid w:val="00ED439D"/>
    <w:rsid w:val="00EF2B28"/>
    <w:rsid w:val="00F0427F"/>
    <w:rsid w:val="00F2376E"/>
    <w:rsid w:val="00F23A85"/>
    <w:rsid w:val="00F24A5C"/>
    <w:rsid w:val="00F368A7"/>
    <w:rsid w:val="00F44B5C"/>
    <w:rsid w:val="00F50B59"/>
    <w:rsid w:val="00F551A5"/>
    <w:rsid w:val="00F605D6"/>
    <w:rsid w:val="00F73A82"/>
    <w:rsid w:val="00F73CF7"/>
    <w:rsid w:val="00F74298"/>
    <w:rsid w:val="00F84418"/>
    <w:rsid w:val="00FD4F33"/>
    <w:rsid w:val="00FF6C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DC3A80A"/>
  <w15:docId w15:val="{D2C67F38-2A59-4636-9CFA-5AB584D5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BA6"/>
    <w:pPr>
      <w:jc w:val="both"/>
    </w:pPr>
    <w:rPr>
      <w:rFonts w:ascii="Arial" w:hAnsi="Arial"/>
      <w:sz w:val="22"/>
      <w:lang w:eastAsia="en-US"/>
    </w:rPr>
  </w:style>
  <w:style w:type="paragraph" w:styleId="Heading1">
    <w:name w:val="heading 1"/>
    <w:basedOn w:val="Normal"/>
    <w:next w:val="BodyText"/>
    <w:qFormat/>
    <w:rsid w:val="00B73112"/>
    <w:pPr>
      <w:keepNext/>
      <w:numPr>
        <w:numId w:val="21"/>
      </w:numPr>
      <w:tabs>
        <w:tab w:val="left" w:pos="720"/>
      </w:tabs>
      <w:spacing w:line="264" w:lineRule="auto"/>
      <w:outlineLvl w:val="0"/>
    </w:pPr>
    <w:rPr>
      <w:b/>
      <w:caps/>
    </w:rPr>
  </w:style>
  <w:style w:type="paragraph" w:styleId="Heading2">
    <w:name w:val="heading 2"/>
    <w:basedOn w:val="Normal"/>
    <w:next w:val="BodyText"/>
    <w:qFormat/>
    <w:rsid w:val="000D5D40"/>
    <w:pPr>
      <w:keepNext/>
      <w:numPr>
        <w:ilvl w:val="1"/>
        <w:numId w:val="21"/>
      </w:numPr>
      <w:tabs>
        <w:tab w:val="left" w:pos="1008"/>
      </w:tabs>
      <w:spacing w:line="264" w:lineRule="auto"/>
      <w:outlineLvl w:val="1"/>
    </w:pPr>
    <w:rPr>
      <w:b/>
    </w:rPr>
  </w:style>
  <w:style w:type="paragraph" w:styleId="Heading3">
    <w:name w:val="heading 3"/>
    <w:basedOn w:val="Normal"/>
    <w:next w:val="BodyText"/>
    <w:qFormat/>
    <w:rsid w:val="000D5D40"/>
    <w:pPr>
      <w:keepNext/>
      <w:numPr>
        <w:ilvl w:val="2"/>
        <w:numId w:val="21"/>
      </w:numPr>
      <w:spacing w:line="264" w:lineRule="auto"/>
      <w:outlineLvl w:val="2"/>
    </w:pPr>
    <w:rPr>
      <w:b/>
    </w:rPr>
  </w:style>
  <w:style w:type="paragraph" w:styleId="Heading4">
    <w:name w:val="heading 4"/>
    <w:basedOn w:val="Normal"/>
    <w:next w:val="BodyText"/>
    <w:qFormat/>
    <w:rsid w:val="000D5D40"/>
    <w:pPr>
      <w:keepNext/>
      <w:spacing w:line="264" w:lineRule="auto"/>
      <w:outlineLvl w:val="3"/>
    </w:pPr>
    <w:rPr>
      <w:b/>
    </w:rPr>
  </w:style>
  <w:style w:type="paragraph" w:styleId="Heading5">
    <w:name w:val="heading 5"/>
    <w:basedOn w:val="Normal"/>
    <w:next w:val="Normal"/>
    <w:qFormat/>
    <w:rsid w:val="009E7BA6"/>
    <w:pPr>
      <w:numPr>
        <w:ilvl w:val="4"/>
        <w:numId w:val="4"/>
      </w:numPr>
      <w:spacing w:before="240" w:after="60"/>
      <w:outlineLvl w:val="4"/>
    </w:pPr>
  </w:style>
  <w:style w:type="paragraph" w:styleId="Heading6">
    <w:name w:val="heading 6"/>
    <w:basedOn w:val="Normal"/>
    <w:next w:val="Normal"/>
    <w:qFormat/>
    <w:rsid w:val="009E7BA6"/>
    <w:pPr>
      <w:numPr>
        <w:ilvl w:val="5"/>
        <w:numId w:val="5"/>
      </w:numPr>
      <w:spacing w:before="240" w:after="60"/>
      <w:outlineLvl w:val="5"/>
    </w:pPr>
    <w:rPr>
      <w:rFonts w:ascii="Times New Roman" w:hAnsi="Times New Roman"/>
      <w:i/>
    </w:rPr>
  </w:style>
  <w:style w:type="paragraph" w:styleId="Heading7">
    <w:name w:val="heading 7"/>
    <w:basedOn w:val="Normal"/>
    <w:next w:val="Normal"/>
    <w:qFormat/>
    <w:rsid w:val="009E7BA6"/>
    <w:pPr>
      <w:numPr>
        <w:ilvl w:val="6"/>
        <w:numId w:val="6"/>
      </w:numPr>
      <w:spacing w:before="240" w:after="60"/>
      <w:outlineLvl w:val="6"/>
    </w:pPr>
    <w:rPr>
      <w:sz w:val="20"/>
    </w:rPr>
  </w:style>
  <w:style w:type="paragraph" w:styleId="Heading8">
    <w:name w:val="heading 8"/>
    <w:basedOn w:val="Normal"/>
    <w:next w:val="Normal"/>
    <w:qFormat/>
    <w:rsid w:val="009E7BA6"/>
    <w:pPr>
      <w:numPr>
        <w:ilvl w:val="7"/>
        <w:numId w:val="7"/>
      </w:numPr>
      <w:spacing w:before="240" w:after="60"/>
      <w:outlineLvl w:val="7"/>
    </w:pPr>
    <w:rPr>
      <w:i/>
      <w:sz w:val="20"/>
    </w:rPr>
  </w:style>
  <w:style w:type="paragraph" w:styleId="Heading9">
    <w:name w:val="heading 9"/>
    <w:basedOn w:val="Normal"/>
    <w:next w:val="Normal"/>
    <w:qFormat/>
    <w:rsid w:val="009E7BA6"/>
    <w:pPr>
      <w:numPr>
        <w:ilvl w:val="8"/>
        <w:numId w:val="8"/>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7BA6"/>
    <w:pPr>
      <w:tabs>
        <w:tab w:val="right" w:pos="9360"/>
      </w:tabs>
    </w:pPr>
    <w:rPr>
      <w:sz w:val="18"/>
    </w:rPr>
  </w:style>
  <w:style w:type="paragraph" w:styleId="Footer">
    <w:name w:val="footer"/>
    <w:basedOn w:val="Normal"/>
    <w:rsid w:val="009E7BA6"/>
    <w:pPr>
      <w:tabs>
        <w:tab w:val="right" w:pos="9360"/>
      </w:tabs>
    </w:pPr>
    <w:rPr>
      <w:sz w:val="18"/>
    </w:rPr>
  </w:style>
  <w:style w:type="character" w:styleId="Hyperlink">
    <w:name w:val="Hyperlink"/>
    <w:basedOn w:val="DefaultParagraphFont"/>
    <w:uiPriority w:val="99"/>
    <w:rsid w:val="009E7BA6"/>
    <w:rPr>
      <w:color w:val="0000FF"/>
      <w:u w:val="single"/>
    </w:rPr>
  </w:style>
  <w:style w:type="paragraph" w:styleId="FootnoteText">
    <w:name w:val="footnote text"/>
    <w:basedOn w:val="Normal"/>
    <w:semiHidden/>
    <w:rsid w:val="009E7BA6"/>
    <w:rPr>
      <w:sz w:val="20"/>
    </w:rPr>
  </w:style>
  <w:style w:type="character" w:styleId="PageNumber">
    <w:name w:val="page number"/>
    <w:basedOn w:val="DefaultParagraphFont"/>
    <w:rsid w:val="009E7BA6"/>
    <w:rPr>
      <w:rFonts w:ascii="Arial" w:hAnsi="Arial"/>
      <w:sz w:val="18"/>
    </w:rPr>
  </w:style>
  <w:style w:type="paragraph" w:styleId="BodyText">
    <w:name w:val="Body Text"/>
    <w:basedOn w:val="Normal"/>
    <w:rsid w:val="00522761"/>
    <w:pPr>
      <w:spacing w:line="264" w:lineRule="auto"/>
    </w:pPr>
    <w:rPr>
      <w:rFonts w:cs="Arial"/>
      <w:szCs w:val="22"/>
    </w:rPr>
  </w:style>
  <w:style w:type="paragraph" w:customStyle="1" w:styleId="AMECBullet">
    <w:name w:val="AMEC Bullet"/>
    <w:rsid w:val="009E7BA6"/>
    <w:pPr>
      <w:numPr>
        <w:numId w:val="1"/>
      </w:numPr>
    </w:pPr>
    <w:rPr>
      <w:rFonts w:ascii="Arial" w:hAnsi="Arial"/>
      <w:sz w:val="22"/>
      <w:lang w:eastAsia="en-US"/>
    </w:rPr>
  </w:style>
  <w:style w:type="paragraph" w:customStyle="1" w:styleId="AMECNumber">
    <w:name w:val="AMEC Number"/>
    <w:rsid w:val="009E7BA6"/>
    <w:pPr>
      <w:numPr>
        <w:numId w:val="2"/>
      </w:numPr>
      <w:jc w:val="both"/>
    </w:pPr>
    <w:rPr>
      <w:rFonts w:ascii="Arial" w:hAnsi="Arial"/>
      <w:sz w:val="22"/>
      <w:lang w:eastAsia="en-US"/>
    </w:rPr>
  </w:style>
  <w:style w:type="paragraph" w:styleId="BalloonText">
    <w:name w:val="Balloon Text"/>
    <w:basedOn w:val="Normal"/>
    <w:link w:val="BalloonTextChar"/>
    <w:uiPriority w:val="99"/>
    <w:semiHidden/>
    <w:unhideWhenUsed/>
    <w:rsid w:val="00191FA8"/>
    <w:rPr>
      <w:rFonts w:ascii="Tahoma" w:hAnsi="Tahoma" w:cs="Tahoma"/>
      <w:sz w:val="16"/>
      <w:szCs w:val="16"/>
    </w:rPr>
  </w:style>
  <w:style w:type="paragraph" w:customStyle="1" w:styleId="Appendix">
    <w:name w:val="Appendix"/>
    <w:basedOn w:val="Normal"/>
    <w:next w:val="BodyText"/>
    <w:rsid w:val="009E7BA6"/>
    <w:pPr>
      <w:pageBreakBefore/>
      <w:numPr>
        <w:numId w:val="3"/>
      </w:numPr>
      <w:spacing w:before="5904"/>
      <w:ind w:left="0" w:firstLine="0"/>
      <w:jc w:val="center"/>
    </w:pPr>
    <w:rPr>
      <w:b/>
    </w:rPr>
  </w:style>
  <w:style w:type="paragraph" w:customStyle="1" w:styleId="Attachments">
    <w:name w:val="Attachments"/>
    <w:basedOn w:val="Normal"/>
    <w:next w:val="Attachments2"/>
    <w:rsid w:val="009E7BA6"/>
    <w:pPr>
      <w:ind w:left="1440" w:hanging="1440"/>
    </w:pPr>
  </w:style>
  <w:style w:type="paragraph" w:customStyle="1" w:styleId="Attachments2">
    <w:name w:val="Attachments 2"/>
    <w:basedOn w:val="Normal"/>
    <w:rsid w:val="009E7BA6"/>
    <w:pPr>
      <w:ind w:left="1440"/>
    </w:pPr>
  </w:style>
  <w:style w:type="paragraph" w:styleId="BlockText">
    <w:name w:val="Block Text"/>
    <w:basedOn w:val="Normal"/>
    <w:rsid w:val="009E7BA6"/>
    <w:pPr>
      <w:spacing w:after="120"/>
      <w:ind w:left="1440" w:right="1440"/>
    </w:pPr>
  </w:style>
  <w:style w:type="paragraph" w:styleId="BodyText2">
    <w:name w:val="Body Text 2"/>
    <w:basedOn w:val="Normal"/>
    <w:rsid w:val="009E7BA6"/>
    <w:pPr>
      <w:jc w:val="center"/>
    </w:pPr>
    <w:rPr>
      <w:sz w:val="24"/>
    </w:rPr>
  </w:style>
  <w:style w:type="paragraph" w:styleId="BodyText3">
    <w:name w:val="Body Text 3"/>
    <w:basedOn w:val="Normal"/>
    <w:rsid w:val="009E7BA6"/>
    <w:pPr>
      <w:spacing w:after="120"/>
    </w:pPr>
    <w:rPr>
      <w:sz w:val="16"/>
    </w:rPr>
  </w:style>
  <w:style w:type="paragraph" w:styleId="BodyTextFirstIndent">
    <w:name w:val="Body Text First Indent"/>
    <w:basedOn w:val="BodyText"/>
    <w:rsid w:val="009E7BA6"/>
    <w:pPr>
      <w:ind w:firstLine="210"/>
    </w:pPr>
  </w:style>
  <w:style w:type="paragraph" w:styleId="BodyTextIndent">
    <w:name w:val="Body Text Indent"/>
    <w:basedOn w:val="Normal"/>
    <w:rsid w:val="009E7BA6"/>
    <w:pPr>
      <w:spacing w:after="120"/>
      <w:ind w:left="360"/>
    </w:pPr>
  </w:style>
  <w:style w:type="paragraph" w:styleId="BodyTextFirstIndent2">
    <w:name w:val="Body Text First Indent 2"/>
    <w:basedOn w:val="BodyTextIndent"/>
    <w:link w:val="BodyTextFirstIndent2Char"/>
    <w:rsid w:val="009E7BA6"/>
    <w:pPr>
      <w:ind w:firstLine="210"/>
    </w:pPr>
  </w:style>
  <w:style w:type="paragraph" w:styleId="BodyTextIndent2">
    <w:name w:val="Body Text Indent 2"/>
    <w:basedOn w:val="Normal"/>
    <w:rsid w:val="009E7BA6"/>
    <w:pPr>
      <w:spacing w:after="120" w:line="480" w:lineRule="auto"/>
      <w:ind w:left="360"/>
    </w:pPr>
  </w:style>
  <w:style w:type="paragraph" w:styleId="BodyTextIndent3">
    <w:name w:val="Body Text Indent 3"/>
    <w:basedOn w:val="Normal"/>
    <w:rsid w:val="009E7BA6"/>
    <w:pPr>
      <w:spacing w:after="120"/>
      <w:ind w:left="360"/>
    </w:pPr>
    <w:rPr>
      <w:sz w:val="16"/>
    </w:rPr>
  </w:style>
  <w:style w:type="paragraph" w:styleId="Caption">
    <w:name w:val="caption"/>
    <w:basedOn w:val="Normal"/>
    <w:next w:val="Normal"/>
    <w:qFormat/>
    <w:rsid w:val="000D5D40"/>
    <w:pPr>
      <w:spacing w:before="120" w:after="120"/>
      <w:jc w:val="center"/>
    </w:pPr>
    <w:rPr>
      <w:b/>
    </w:rPr>
  </w:style>
  <w:style w:type="paragraph" w:styleId="Closing">
    <w:name w:val="Closing"/>
    <w:basedOn w:val="Normal"/>
    <w:rsid w:val="009E7BA6"/>
    <w:pPr>
      <w:ind w:left="4320"/>
    </w:pPr>
  </w:style>
  <w:style w:type="character" w:styleId="CommentReference">
    <w:name w:val="annotation reference"/>
    <w:basedOn w:val="DefaultParagraphFont"/>
    <w:uiPriority w:val="99"/>
    <w:rsid w:val="009E7BA6"/>
    <w:rPr>
      <w:sz w:val="16"/>
    </w:rPr>
  </w:style>
  <w:style w:type="paragraph" w:styleId="CommentText">
    <w:name w:val="annotation text"/>
    <w:basedOn w:val="Normal"/>
    <w:link w:val="CommentTextChar"/>
    <w:uiPriority w:val="99"/>
    <w:rsid w:val="009E7BA6"/>
    <w:rPr>
      <w:sz w:val="20"/>
    </w:rPr>
  </w:style>
  <w:style w:type="paragraph" w:styleId="Date">
    <w:name w:val="Date"/>
    <w:basedOn w:val="Normal"/>
    <w:next w:val="Normal"/>
    <w:rsid w:val="009E7BA6"/>
  </w:style>
  <w:style w:type="paragraph" w:styleId="DocumentMap">
    <w:name w:val="Document Map"/>
    <w:basedOn w:val="Normal"/>
    <w:semiHidden/>
    <w:rsid w:val="009E7BA6"/>
    <w:pPr>
      <w:shd w:val="clear" w:color="auto" w:fill="000080"/>
    </w:pPr>
    <w:rPr>
      <w:rFonts w:ascii="Tahoma" w:hAnsi="Tahoma"/>
    </w:rPr>
  </w:style>
  <w:style w:type="paragraph" w:styleId="E-mailSignature">
    <w:name w:val="E-mail Signature"/>
    <w:basedOn w:val="Normal"/>
    <w:rsid w:val="009E7BA6"/>
  </w:style>
  <w:style w:type="character" w:styleId="Emphasis">
    <w:name w:val="Emphasis"/>
    <w:basedOn w:val="DefaultParagraphFont"/>
    <w:qFormat/>
    <w:rsid w:val="009E7BA6"/>
    <w:rPr>
      <w:i/>
    </w:rPr>
  </w:style>
  <w:style w:type="character" w:styleId="EndnoteReference">
    <w:name w:val="endnote reference"/>
    <w:basedOn w:val="DefaultParagraphFont"/>
    <w:semiHidden/>
    <w:rsid w:val="009E7BA6"/>
    <w:rPr>
      <w:vertAlign w:val="superscript"/>
    </w:rPr>
  </w:style>
  <w:style w:type="paragraph" w:styleId="EndnoteText">
    <w:name w:val="endnote text"/>
    <w:basedOn w:val="Normal"/>
    <w:semiHidden/>
    <w:rsid w:val="009E7BA6"/>
    <w:rPr>
      <w:sz w:val="20"/>
    </w:rPr>
  </w:style>
  <w:style w:type="paragraph" w:styleId="EnvelopeAddress">
    <w:name w:val="envelope address"/>
    <w:basedOn w:val="Normal"/>
    <w:rsid w:val="009E7BA6"/>
    <w:pPr>
      <w:framePr w:w="7920" w:h="1980" w:hRule="exact" w:hSpace="180" w:wrap="auto" w:hAnchor="page" w:xAlign="center" w:yAlign="bottom"/>
      <w:ind w:left="2880"/>
    </w:pPr>
    <w:rPr>
      <w:sz w:val="24"/>
    </w:rPr>
  </w:style>
  <w:style w:type="paragraph" w:styleId="EnvelopeReturn">
    <w:name w:val="envelope return"/>
    <w:basedOn w:val="Normal"/>
    <w:rsid w:val="009E7BA6"/>
    <w:rPr>
      <w:sz w:val="20"/>
    </w:rPr>
  </w:style>
  <w:style w:type="character" w:styleId="FollowedHyperlink">
    <w:name w:val="FollowedHyperlink"/>
    <w:basedOn w:val="DefaultParagraphFont"/>
    <w:rsid w:val="009E7BA6"/>
    <w:rPr>
      <w:color w:val="800080"/>
      <w:u w:val="single"/>
    </w:rPr>
  </w:style>
  <w:style w:type="character" w:styleId="FootnoteReference">
    <w:name w:val="footnote reference"/>
    <w:basedOn w:val="DefaultParagraphFont"/>
    <w:semiHidden/>
    <w:rsid w:val="009E7BA6"/>
    <w:rPr>
      <w:vertAlign w:val="superscript"/>
    </w:rPr>
  </w:style>
  <w:style w:type="paragraph" w:styleId="Index1">
    <w:name w:val="index 1"/>
    <w:basedOn w:val="Normal"/>
    <w:next w:val="Normal"/>
    <w:autoRedefine/>
    <w:semiHidden/>
    <w:rsid w:val="009E7BA6"/>
    <w:pPr>
      <w:ind w:left="220" w:hanging="220"/>
    </w:pPr>
  </w:style>
  <w:style w:type="paragraph" w:styleId="Index2">
    <w:name w:val="index 2"/>
    <w:basedOn w:val="Normal"/>
    <w:next w:val="Normal"/>
    <w:autoRedefine/>
    <w:semiHidden/>
    <w:rsid w:val="009E7BA6"/>
    <w:pPr>
      <w:ind w:left="440" w:hanging="220"/>
    </w:pPr>
  </w:style>
  <w:style w:type="paragraph" w:styleId="Index3">
    <w:name w:val="index 3"/>
    <w:basedOn w:val="Normal"/>
    <w:next w:val="Normal"/>
    <w:autoRedefine/>
    <w:semiHidden/>
    <w:rsid w:val="009E7BA6"/>
    <w:pPr>
      <w:ind w:left="660" w:hanging="220"/>
    </w:pPr>
  </w:style>
  <w:style w:type="paragraph" w:styleId="Index4">
    <w:name w:val="index 4"/>
    <w:basedOn w:val="Normal"/>
    <w:next w:val="Normal"/>
    <w:autoRedefine/>
    <w:semiHidden/>
    <w:rsid w:val="009E7BA6"/>
    <w:pPr>
      <w:ind w:left="880" w:hanging="220"/>
    </w:pPr>
  </w:style>
  <w:style w:type="paragraph" w:styleId="Index5">
    <w:name w:val="index 5"/>
    <w:basedOn w:val="Normal"/>
    <w:next w:val="Normal"/>
    <w:autoRedefine/>
    <w:semiHidden/>
    <w:rsid w:val="009E7BA6"/>
    <w:pPr>
      <w:ind w:left="1100" w:hanging="220"/>
    </w:pPr>
  </w:style>
  <w:style w:type="paragraph" w:styleId="Index6">
    <w:name w:val="index 6"/>
    <w:basedOn w:val="Normal"/>
    <w:next w:val="Normal"/>
    <w:autoRedefine/>
    <w:semiHidden/>
    <w:rsid w:val="009E7BA6"/>
    <w:pPr>
      <w:ind w:left="1320" w:hanging="220"/>
    </w:pPr>
  </w:style>
  <w:style w:type="paragraph" w:styleId="Index7">
    <w:name w:val="index 7"/>
    <w:basedOn w:val="Normal"/>
    <w:next w:val="Normal"/>
    <w:autoRedefine/>
    <w:semiHidden/>
    <w:rsid w:val="009E7BA6"/>
    <w:pPr>
      <w:ind w:left="1540" w:hanging="220"/>
    </w:pPr>
  </w:style>
  <w:style w:type="paragraph" w:styleId="Index8">
    <w:name w:val="index 8"/>
    <w:basedOn w:val="Normal"/>
    <w:next w:val="Normal"/>
    <w:autoRedefine/>
    <w:semiHidden/>
    <w:rsid w:val="009E7BA6"/>
    <w:pPr>
      <w:ind w:left="1760" w:hanging="220"/>
    </w:pPr>
  </w:style>
  <w:style w:type="paragraph" w:styleId="Index9">
    <w:name w:val="index 9"/>
    <w:basedOn w:val="Normal"/>
    <w:next w:val="Normal"/>
    <w:autoRedefine/>
    <w:semiHidden/>
    <w:rsid w:val="009E7BA6"/>
    <w:pPr>
      <w:ind w:left="1980" w:hanging="220"/>
    </w:pPr>
  </w:style>
  <w:style w:type="paragraph" w:styleId="IndexHeading">
    <w:name w:val="index heading"/>
    <w:basedOn w:val="Normal"/>
    <w:next w:val="Index1"/>
    <w:semiHidden/>
    <w:rsid w:val="009E7BA6"/>
    <w:rPr>
      <w:b/>
    </w:rPr>
  </w:style>
  <w:style w:type="character" w:styleId="LineNumber">
    <w:name w:val="line number"/>
    <w:basedOn w:val="DefaultParagraphFont"/>
    <w:rsid w:val="009E7BA6"/>
  </w:style>
  <w:style w:type="paragraph" w:styleId="List">
    <w:name w:val="List"/>
    <w:basedOn w:val="Normal"/>
    <w:rsid w:val="009E7BA6"/>
    <w:pPr>
      <w:ind w:left="360" w:hanging="360"/>
    </w:pPr>
  </w:style>
  <w:style w:type="paragraph" w:styleId="List2">
    <w:name w:val="List 2"/>
    <w:basedOn w:val="Normal"/>
    <w:rsid w:val="009E7BA6"/>
    <w:pPr>
      <w:ind w:left="720" w:hanging="360"/>
    </w:pPr>
  </w:style>
  <w:style w:type="paragraph" w:styleId="List3">
    <w:name w:val="List 3"/>
    <w:basedOn w:val="Normal"/>
    <w:rsid w:val="009E7BA6"/>
    <w:pPr>
      <w:ind w:left="1080" w:hanging="360"/>
    </w:pPr>
  </w:style>
  <w:style w:type="paragraph" w:styleId="List4">
    <w:name w:val="List 4"/>
    <w:basedOn w:val="Normal"/>
    <w:rsid w:val="009E7BA6"/>
    <w:pPr>
      <w:ind w:left="1440" w:hanging="360"/>
    </w:pPr>
  </w:style>
  <w:style w:type="paragraph" w:styleId="List5">
    <w:name w:val="List 5"/>
    <w:basedOn w:val="Normal"/>
    <w:rsid w:val="009E7BA6"/>
    <w:pPr>
      <w:ind w:left="1800" w:hanging="360"/>
    </w:pPr>
  </w:style>
  <w:style w:type="paragraph" w:styleId="ListBullet">
    <w:name w:val="List Bullet"/>
    <w:basedOn w:val="Normal"/>
    <w:autoRedefine/>
    <w:rsid w:val="009E7BA6"/>
    <w:pPr>
      <w:numPr>
        <w:numId w:val="9"/>
      </w:numPr>
      <w:tabs>
        <w:tab w:val="clear" w:pos="360"/>
        <w:tab w:val="num" w:pos="144"/>
      </w:tabs>
      <w:ind w:left="144" w:hanging="144"/>
    </w:pPr>
  </w:style>
  <w:style w:type="paragraph" w:styleId="ListBullet2">
    <w:name w:val="List Bullet 2"/>
    <w:basedOn w:val="Normal"/>
    <w:autoRedefine/>
    <w:rsid w:val="009E7BA6"/>
    <w:pPr>
      <w:numPr>
        <w:numId w:val="10"/>
      </w:numPr>
      <w:tabs>
        <w:tab w:val="clear" w:pos="720"/>
        <w:tab w:val="left" w:pos="504"/>
      </w:tabs>
      <w:ind w:left="504" w:hanging="144"/>
    </w:pPr>
  </w:style>
  <w:style w:type="paragraph" w:styleId="ListBullet3">
    <w:name w:val="List Bullet 3"/>
    <w:basedOn w:val="Normal"/>
    <w:autoRedefine/>
    <w:rsid w:val="009E7BA6"/>
    <w:pPr>
      <w:numPr>
        <w:numId w:val="11"/>
      </w:numPr>
      <w:tabs>
        <w:tab w:val="clear" w:pos="1080"/>
        <w:tab w:val="left" w:pos="864"/>
      </w:tabs>
      <w:ind w:left="864" w:hanging="144"/>
    </w:pPr>
  </w:style>
  <w:style w:type="paragraph" w:styleId="ListBullet4">
    <w:name w:val="List Bullet 4"/>
    <w:basedOn w:val="Normal"/>
    <w:autoRedefine/>
    <w:rsid w:val="009E7BA6"/>
    <w:pPr>
      <w:numPr>
        <w:numId w:val="12"/>
      </w:numPr>
    </w:pPr>
  </w:style>
  <w:style w:type="paragraph" w:styleId="ListBullet5">
    <w:name w:val="List Bullet 5"/>
    <w:basedOn w:val="Normal"/>
    <w:autoRedefine/>
    <w:rsid w:val="009E7BA6"/>
    <w:pPr>
      <w:numPr>
        <w:numId w:val="13"/>
      </w:numPr>
    </w:pPr>
  </w:style>
  <w:style w:type="paragraph" w:styleId="ListContinue">
    <w:name w:val="List Continue"/>
    <w:basedOn w:val="Normal"/>
    <w:rsid w:val="009E7BA6"/>
    <w:pPr>
      <w:spacing w:after="120"/>
      <w:ind w:left="360"/>
    </w:pPr>
  </w:style>
  <w:style w:type="paragraph" w:styleId="ListContinue2">
    <w:name w:val="List Continue 2"/>
    <w:basedOn w:val="Normal"/>
    <w:rsid w:val="009E7BA6"/>
    <w:pPr>
      <w:spacing w:after="120"/>
      <w:ind w:left="720"/>
    </w:pPr>
  </w:style>
  <w:style w:type="paragraph" w:styleId="ListContinue3">
    <w:name w:val="List Continue 3"/>
    <w:basedOn w:val="Normal"/>
    <w:rsid w:val="009E7BA6"/>
    <w:pPr>
      <w:spacing w:after="120"/>
      <w:ind w:left="1080"/>
    </w:pPr>
  </w:style>
  <w:style w:type="paragraph" w:styleId="ListContinue4">
    <w:name w:val="List Continue 4"/>
    <w:basedOn w:val="Normal"/>
    <w:rsid w:val="009E7BA6"/>
    <w:pPr>
      <w:spacing w:after="120"/>
      <w:ind w:left="1440"/>
    </w:pPr>
  </w:style>
  <w:style w:type="paragraph" w:styleId="ListContinue5">
    <w:name w:val="List Continue 5"/>
    <w:basedOn w:val="Normal"/>
    <w:rsid w:val="009E7BA6"/>
    <w:pPr>
      <w:spacing w:after="120"/>
      <w:ind w:left="1800"/>
    </w:pPr>
  </w:style>
  <w:style w:type="paragraph" w:styleId="ListNumber">
    <w:name w:val="List Number"/>
    <w:basedOn w:val="Normal"/>
    <w:rsid w:val="009E7BA6"/>
    <w:pPr>
      <w:numPr>
        <w:numId w:val="14"/>
      </w:numPr>
    </w:pPr>
  </w:style>
  <w:style w:type="paragraph" w:styleId="ListNumber2">
    <w:name w:val="List Number 2"/>
    <w:basedOn w:val="Normal"/>
    <w:rsid w:val="009E7BA6"/>
    <w:pPr>
      <w:numPr>
        <w:numId w:val="15"/>
      </w:numPr>
    </w:pPr>
  </w:style>
  <w:style w:type="paragraph" w:styleId="ListNumber3">
    <w:name w:val="List Number 3"/>
    <w:basedOn w:val="Normal"/>
    <w:rsid w:val="009E7BA6"/>
    <w:pPr>
      <w:numPr>
        <w:numId w:val="16"/>
      </w:numPr>
    </w:pPr>
  </w:style>
  <w:style w:type="paragraph" w:styleId="ListNumber4">
    <w:name w:val="List Number 4"/>
    <w:basedOn w:val="Normal"/>
    <w:rsid w:val="009E7BA6"/>
    <w:pPr>
      <w:numPr>
        <w:numId w:val="17"/>
      </w:numPr>
    </w:pPr>
  </w:style>
  <w:style w:type="paragraph" w:styleId="ListNumber5">
    <w:name w:val="List Number 5"/>
    <w:basedOn w:val="Normal"/>
    <w:rsid w:val="009E7BA6"/>
    <w:pPr>
      <w:numPr>
        <w:numId w:val="18"/>
      </w:numPr>
    </w:pPr>
  </w:style>
  <w:style w:type="paragraph" w:styleId="MacroText">
    <w:name w:val="macro"/>
    <w:semiHidden/>
    <w:rsid w:val="009E7BA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MessageHeader">
    <w:name w:val="Message Header"/>
    <w:basedOn w:val="Normal"/>
    <w:rsid w:val="009E7BA6"/>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9E7BA6"/>
    <w:pPr>
      <w:ind w:left="720"/>
    </w:pPr>
  </w:style>
  <w:style w:type="paragraph" w:styleId="NoteHeading">
    <w:name w:val="Note Heading"/>
    <w:basedOn w:val="Normal"/>
    <w:next w:val="Normal"/>
    <w:rsid w:val="009E7BA6"/>
  </w:style>
  <w:style w:type="paragraph" w:styleId="PlainText">
    <w:name w:val="Plain Text"/>
    <w:basedOn w:val="Normal"/>
    <w:rsid w:val="009E7BA6"/>
    <w:rPr>
      <w:rFonts w:ascii="Courier New" w:hAnsi="Courier New"/>
      <w:sz w:val="20"/>
    </w:rPr>
  </w:style>
  <w:style w:type="paragraph" w:customStyle="1" w:styleId="References">
    <w:name w:val="References"/>
    <w:basedOn w:val="Normal"/>
    <w:next w:val="BodyText"/>
    <w:rsid w:val="009E7BA6"/>
    <w:pPr>
      <w:spacing w:after="240"/>
      <w:jc w:val="center"/>
    </w:pPr>
    <w:rPr>
      <w:b/>
    </w:rPr>
  </w:style>
  <w:style w:type="paragraph" w:styleId="Salutation">
    <w:name w:val="Salutation"/>
    <w:basedOn w:val="Normal"/>
    <w:next w:val="Normal"/>
    <w:rsid w:val="009E7BA6"/>
  </w:style>
  <w:style w:type="paragraph" w:styleId="Signature">
    <w:name w:val="Signature"/>
    <w:basedOn w:val="Normal"/>
    <w:rsid w:val="009E7BA6"/>
    <w:pPr>
      <w:ind w:left="4320"/>
    </w:pPr>
  </w:style>
  <w:style w:type="character" w:styleId="Strong">
    <w:name w:val="Strong"/>
    <w:basedOn w:val="DefaultParagraphFont"/>
    <w:qFormat/>
    <w:rsid w:val="009E7BA6"/>
    <w:rPr>
      <w:b/>
    </w:rPr>
  </w:style>
  <w:style w:type="paragraph" w:styleId="Subtitle">
    <w:name w:val="Subtitle"/>
    <w:basedOn w:val="Normal"/>
    <w:qFormat/>
    <w:rsid w:val="009E7BA6"/>
    <w:pPr>
      <w:jc w:val="right"/>
    </w:pPr>
    <w:rPr>
      <w:b/>
    </w:rPr>
  </w:style>
  <w:style w:type="paragraph" w:customStyle="1" w:styleId="Summary">
    <w:name w:val="Summary"/>
    <w:basedOn w:val="Normal"/>
    <w:next w:val="BodyText"/>
    <w:rsid w:val="009E7BA6"/>
    <w:pPr>
      <w:spacing w:after="240"/>
      <w:jc w:val="center"/>
    </w:pPr>
    <w:rPr>
      <w:b/>
    </w:rPr>
  </w:style>
  <w:style w:type="paragraph" w:styleId="TableofAuthorities">
    <w:name w:val="table of authorities"/>
    <w:basedOn w:val="Normal"/>
    <w:next w:val="Normal"/>
    <w:semiHidden/>
    <w:rsid w:val="009E7BA6"/>
    <w:pPr>
      <w:ind w:left="220" w:hanging="220"/>
    </w:pPr>
  </w:style>
  <w:style w:type="paragraph" w:customStyle="1" w:styleId="TableofContents">
    <w:name w:val="Table of Contents"/>
    <w:basedOn w:val="References"/>
    <w:rsid w:val="009E7BA6"/>
    <w:rPr>
      <w:caps/>
    </w:rPr>
  </w:style>
  <w:style w:type="paragraph" w:styleId="TableofFigures">
    <w:name w:val="table of figures"/>
    <w:basedOn w:val="Normal"/>
    <w:next w:val="Normal"/>
    <w:semiHidden/>
    <w:rsid w:val="009E7BA6"/>
    <w:pPr>
      <w:ind w:left="440" w:hanging="440"/>
    </w:pPr>
  </w:style>
  <w:style w:type="paragraph" w:customStyle="1" w:styleId="Tables">
    <w:name w:val="Tables"/>
    <w:basedOn w:val="Normal"/>
    <w:rsid w:val="009E7BA6"/>
  </w:style>
  <w:style w:type="paragraph" w:styleId="Title">
    <w:name w:val="Title"/>
    <w:basedOn w:val="Normal"/>
    <w:link w:val="TitleChar"/>
    <w:qFormat/>
    <w:rsid w:val="009E7BA6"/>
    <w:pPr>
      <w:jc w:val="center"/>
    </w:pPr>
    <w:rPr>
      <w:b/>
    </w:rPr>
  </w:style>
  <w:style w:type="paragraph" w:customStyle="1" w:styleId="TitlePage">
    <w:name w:val="Title Page"/>
    <w:rsid w:val="009E7BA6"/>
    <w:pPr>
      <w:jc w:val="center"/>
    </w:pPr>
    <w:rPr>
      <w:rFonts w:ascii="Arial" w:hAnsi="Arial"/>
      <w:b/>
      <w:caps/>
      <w:sz w:val="22"/>
      <w:lang w:eastAsia="en-US"/>
    </w:rPr>
  </w:style>
  <w:style w:type="paragraph" w:styleId="TOAHeading">
    <w:name w:val="toa heading"/>
    <w:basedOn w:val="Normal"/>
    <w:next w:val="Normal"/>
    <w:semiHidden/>
    <w:rsid w:val="009E7BA6"/>
    <w:pPr>
      <w:spacing w:before="120"/>
    </w:pPr>
    <w:rPr>
      <w:b/>
      <w:sz w:val="24"/>
    </w:rPr>
  </w:style>
  <w:style w:type="paragraph" w:styleId="TOC1">
    <w:name w:val="toc 1"/>
    <w:basedOn w:val="Normal"/>
    <w:next w:val="Normal"/>
    <w:autoRedefine/>
    <w:semiHidden/>
    <w:rsid w:val="009E7BA6"/>
    <w:pPr>
      <w:tabs>
        <w:tab w:val="left" w:pos="540"/>
        <w:tab w:val="right" w:leader="dot" w:pos="9360"/>
      </w:tabs>
      <w:spacing w:before="240"/>
    </w:pPr>
    <w:rPr>
      <w:caps/>
      <w:noProof/>
    </w:rPr>
  </w:style>
  <w:style w:type="paragraph" w:styleId="TOC2">
    <w:name w:val="toc 2"/>
    <w:basedOn w:val="Normal"/>
    <w:next w:val="Normal"/>
    <w:autoRedefine/>
    <w:semiHidden/>
    <w:rsid w:val="009E7BA6"/>
    <w:pPr>
      <w:tabs>
        <w:tab w:val="left" w:pos="1080"/>
        <w:tab w:val="right" w:leader="dot" w:pos="9360"/>
      </w:tabs>
      <w:ind w:left="540"/>
    </w:pPr>
    <w:rPr>
      <w:noProof/>
    </w:rPr>
  </w:style>
  <w:style w:type="paragraph" w:styleId="TOC3">
    <w:name w:val="toc 3"/>
    <w:basedOn w:val="Normal"/>
    <w:next w:val="Normal"/>
    <w:autoRedefine/>
    <w:semiHidden/>
    <w:rsid w:val="009E7BA6"/>
    <w:pPr>
      <w:tabs>
        <w:tab w:val="left" w:pos="1080"/>
        <w:tab w:val="left" w:pos="1800"/>
        <w:tab w:val="right" w:leader="dot" w:pos="9360"/>
      </w:tabs>
      <w:ind w:left="1080"/>
    </w:pPr>
    <w:rPr>
      <w:noProof/>
    </w:rPr>
  </w:style>
  <w:style w:type="paragraph" w:styleId="TOC4">
    <w:name w:val="toc 4"/>
    <w:basedOn w:val="Normal"/>
    <w:next w:val="Normal"/>
    <w:autoRedefine/>
    <w:semiHidden/>
    <w:rsid w:val="009E7BA6"/>
    <w:pPr>
      <w:tabs>
        <w:tab w:val="left" w:pos="1800"/>
        <w:tab w:val="left" w:pos="2700"/>
        <w:tab w:val="right" w:leader="dot" w:pos="9360"/>
      </w:tabs>
      <w:ind w:left="1800"/>
    </w:pPr>
    <w:rPr>
      <w:noProof/>
    </w:rPr>
  </w:style>
  <w:style w:type="paragraph" w:styleId="TOC5">
    <w:name w:val="toc 5"/>
    <w:basedOn w:val="Normal"/>
    <w:next w:val="Normal"/>
    <w:autoRedefine/>
    <w:semiHidden/>
    <w:rsid w:val="009E7BA6"/>
    <w:pPr>
      <w:tabs>
        <w:tab w:val="right" w:leader="dot" w:pos="9350"/>
      </w:tabs>
    </w:pPr>
  </w:style>
  <w:style w:type="paragraph" w:styleId="TOC6">
    <w:name w:val="toc 6"/>
    <w:basedOn w:val="Normal"/>
    <w:next w:val="Normal"/>
    <w:autoRedefine/>
    <w:semiHidden/>
    <w:rsid w:val="009E7BA6"/>
    <w:pPr>
      <w:ind w:left="1100"/>
    </w:pPr>
  </w:style>
  <w:style w:type="paragraph" w:styleId="TOC7">
    <w:name w:val="toc 7"/>
    <w:basedOn w:val="Normal"/>
    <w:next w:val="Normal"/>
    <w:autoRedefine/>
    <w:semiHidden/>
    <w:rsid w:val="009E7BA6"/>
    <w:pPr>
      <w:ind w:left="1320"/>
    </w:pPr>
  </w:style>
  <w:style w:type="paragraph" w:styleId="TOC8">
    <w:name w:val="toc 8"/>
    <w:basedOn w:val="Normal"/>
    <w:next w:val="Normal"/>
    <w:autoRedefine/>
    <w:semiHidden/>
    <w:rsid w:val="009E7BA6"/>
    <w:pPr>
      <w:ind w:left="1540"/>
    </w:pPr>
  </w:style>
  <w:style w:type="paragraph" w:styleId="TOC9">
    <w:name w:val="toc 9"/>
    <w:basedOn w:val="Normal"/>
    <w:next w:val="Normal"/>
    <w:autoRedefine/>
    <w:semiHidden/>
    <w:rsid w:val="009E7BA6"/>
    <w:pPr>
      <w:ind w:left="1760"/>
    </w:pPr>
  </w:style>
  <w:style w:type="character" w:customStyle="1" w:styleId="BalloonTextChar">
    <w:name w:val="Balloon Text Char"/>
    <w:basedOn w:val="DefaultParagraphFont"/>
    <w:link w:val="BalloonText"/>
    <w:uiPriority w:val="99"/>
    <w:semiHidden/>
    <w:rsid w:val="00191FA8"/>
    <w:rPr>
      <w:rFonts w:ascii="Tahoma" w:hAnsi="Tahoma" w:cs="Tahoma"/>
      <w:sz w:val="16"/>
      <w:szCs w:val="16"/>
      <w:lang w:val="en-CA"/>
    </w:rPr>
  </w:style>
  <w:style w:type="table" w:styleId="TableGrid">
    <w:name w:val="Table Grid"/>
    <w:basedOn w:val="TableNormal"/>
    <w:uiPriority w:val="59"/>
    <w:rsid w:val="00B51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F2376E"/>
    <w:rPr>
      <w:rFonts w:ascii="Arial" w:hAnsi="Arial"/>
      <w:lang w:eastAsia="en-US"/>
    </w:rPr>
  </w:style>
  <w:style w:type="character" w:customStyle="1" w:styleId="TitleChar">
    <w:name w:val="Title Char"/>
    <w:basedOn w:val="DefaultParagraphFont"/>
    <w:link w:val="Title"/>
    <w:locked/>
    <w:rsid w:val="00A7677E"/>
    <w:rPr>
      <w:rFonts w:ascii="Arial" w:hAnsi="Arial"/>
      <w:b/>
      <w:sz w:val="22"/>
      <w:lang w:eastAsia="en-US"/>
    </w:rPr>
  </w:style>
  <w:style w:type="character" w:customStyle="1" w:styleId="CommentTextChar1">
    <w:name w:val="Comment Text Char1"/>
    <w:uiPriority w:val="99"/>
    <w:rsid w:val="009261A4"/>
    <w:rPr>
      <w:rFonts w:ascii="Arial" w:hAnsi="Arial"/>
      <w:lang w:eastAsia="en-US"/>
    </w:rPr>
  </w:style>
  <w:style w:type="character" w:customStyle="1" w:styleId="BodyTextFirstIndent2Char">
    <w:name w:val="Body Text First Indent 2 Char"/>
    <w:link w:val="BodyTextFirstIndent2"/>
    <w:locked/>
    <w:rsid w:val="00F605D6"/>
    <w:rPr>
      <w:rFonts w:ascii="Arial" w:hAnsi="Arial"/>
      <w:sz w:val="22"/>
      <w:lang w:eastAsia="en-US"/>
    </w:rPr>
  </w:style>
  <w:style w:type="paragraph" w:styleId="CommentSubject">
    <w:name w:val="annotation subject"/>
    <w:basedOn w:val="CommentText"/>
    <w:next w:val="CommentText"/>
    <w:link w:val="CommentSubjectChar"/>
    <w:uiPriority w:val="99"/>
    <w:semiHidden/>
    <w:unhideWhenUsed/>
    <w:rsid w:val="006A2602"/>
    <w:rPr>
      <w:b/>
      <w:bCs/>
    </w:rPr>
  </w:style>
  <w:style w:type="character" w:customStyle="1" w:styleId="CommentSubjectChar">
    <w:name w:val="Comment Subject Char"/>
    <w:basedOn w:val="CommentTextChar"/>
    <w:link w:val="CommentSubject"/>
    <w:uiPriority w:val="99"/>
    <w:semiHidden/>
    <w:rsid w:val="006A2602"/>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03501">
      <w:bodyDiv w:val="1"/>
      <w:marLeft w:val="0"/>
      <w:marRight w:val="0"/>
      <w:marTop w:val="0"/>
      <w:marBottom w:val="0"/>
      <w:divBdr>
        <w:top w:val="none" w:sz="0" w:space="0" w:color="auto"/>
        <w:left w:val="none" w:sz="0" w:space="0" w:color="auto"/>
        <w:bottom w:val="none" w:sz="0" w:space="0" w:color="auto"/>
        <w:right w:val="none" w:sz="0" w:space="0" w:color="auto"/>
      </w:divBdr>
    </w:div>
    <w:div w:id="587808720">
      <w:bodyDiv w:val="1"/>
      <w:marLeft w:val="0"/>
      <w:marRight w:val="0"/>
      <w:marTop w:val="0"/>
      <w:marBottom w:val="0"/>
      <w:divBdr>
        <w:top w:val="none" w:sz="0" w:space="0" w:color="auto"/>
        <w:left w:val="none" w:sz="0" w:space="0" w:color="auto"/>
        <w:bottom w:val="none" w:sz="0" w:space="0" w:color="auto"/>
        <w:right w:val="none" w:sz="0" w:space="0" w:color="auto"/>
      </w:divBdr>
    </w:div>
    <w:div w:id="639457544">
      <w:bodyDiv w:val="1"/>
      <w:marLeft w:val="0"/>
      <w:marRight w:val="0"/>
      <w:marTop w:val="0"/>
      <w:marBottom w:val="0"/>
      <w:divBdr>
        <w:top w:val="none" w:sz="0" w:space="0" w:color="auto"/>
        <w:left w:val="none" w:sz="0" w:space="0" w:color="auto"/>
        <w:bottom w:val="none" w:sz="0" w:space="0" w:color="auto"/>
        <w:right w:val="none" w:sz="0" w:space="0" w:color="auto"/>
      </w:divBdr>
    </w:div>
    <w:div w:id="842671796">
      <w:bodyDiv w:val="1"/>
      <w:marLeft w:val="0"/>
      <w:marRight w:val="0"/>
      <w:marTop w:val="0"/>
      <w:marBottom w:val="0"/>
      <w:divBdr>
        <w:top w:val="none" w:sz="0" w:space="0" w:color="auto"/>
        <w:left w:val="none" w:sz="0" w:space="0" w:color="auto"/>
        <w:bottom w:val="none" w:sz="0" w:space="0" w:color="auto"/>
        <w:right w:val="none" w:sz="0" w:space="0" w:color="auto"/>
      </w:divBdr>
    </w:div>
    <w:div w:id="874196096">
      <w:bodyDiv w:val="1"/>
      <w:marLeft w:val="0"/>
      <w:marRight w:val="0"/>
      <w:marTop w:val="0"/>
      <w:marBottom w:val="0"/>
      <w:divBdr>
        <w:top w:val="none" w:sz="0" w:space="0" w:color="auto"/>
        <w:left w:val="none" w:sz="0" w:space="0" w:color="auto"/>
        <w:bottom w:val="none" w:sz="0" w:space="0" w:color="auto"/>
        <w:right w:val="none" w:sz="0" w:space="0" w:color="auto"/>
      </w:divBdr>
    </w:div>
    <w:div w:id="911502906">
      <w:bodyDiv w:val="1"/>
      <w:marLeft w:val="0"/>
      <w:marRight w:val="0"/>
      <w:marTop w:val="0"/>
      <w:marBottom w:val="0"/>
      <w:divBdr>
        <w:top w:val="none" w:sz="0" w:space="0" w:color="auto"/>
        <w:left w:val="none" w:sz="0" w:space="0" w:color="auto"/>
        <w:bottom w:val="none" w:sz="0" w:space="0" w:color="auto"/>
        <w:right w:val="none" w:sz="0" w:space="0" w:color="auto"/>
      </w:divBdr>
    </w:div>
    <w:div w:id="955478357">
      <w:bodyDiv w:val="1"/>
      <w:marLeft w:val="0"/>
      <w:marRight w:val="0"/>
      <w:marTop w:val="0"/>
      <w:marBottom w:val="0"/>
      <w:divBdr>
        <w:top w:val="none" w:sz="0" w:space="0" w:color="auto"/>
        <w:left w:val="none" w:sz="0" w:space="0" w:color="auto"/>
        <w:bottom w:val="none" w:sz="0" w:space="0" w:color="auto"/>
        <w:right w:val="none" w:sz="0" w:space="0" w:color="auto"/>
      </w:divBdr>
    </w:div>
    <w:div w:id="1223369243">
      <w:bodyDiv w:val="1"/>
      <w:marLeft w:val="0"/>
      <w:marRight w:val="0"/>
      <w:marTop w:val="0"/>
      <w:marBottom w:val="0"/>
      <w:divBdr>
        <w:top w:val="none" w:sz="0" w:space="0" w:color="auto"/>
        <w:left w:val="none" w:sz="0" w:space="0" w:color="auto"/>
        <w:bottom w:val="none" w:sz="0" w:space="0" w:color="auto"/>
        <w:right w:val="none" w:sz="0" w:space="0" w:color="auto"/>
      </w:divBdr>
    </w:div>
    <w:div w:id="1241448748">
      <w:bodyDiv w:val="1"/>
      <w:marLeft w:val="0"/>
      <w:marRight w:val="0"/>
      <w:marTop w:val="0"/>
      <w:marBottom w:val="0"/>
      <w:divBdr>
        <w:top w:val="none" w:sz="0" w:space="0" w:color="auto"/>
        <w:left w:val="none" w:sz="0" w:space="0" w:color="auto"/>
        <w:bottom w:val="none" w:sz="0" w:space="0" w:color="auto"/>
        <w:right w:val="none" w:sz="0" w:space="0" w:color="auto"/>
      </w:divBdr>
    </w:div>
    <w:div w:id="1535575363">
      <w:bodyDiv w:val="1"/>
      <w:marLeft w:val="0"/>
      <w:marRight w:val="0"/>
      <w:marTop w:val="0"/>
      <w:marBottom w:val="0"/>
      <w:divBdr>
        <w:top w:val="none" w:sz="0" w:space="0" w:color="auto"/>
        <w:left w:val="none" w:sz="0" w:space="0" w:color="auto"/>
        <w:bottom w:val="none" w:sz="0" w:space="0" w:color="auto"/>
        <w:right w:val="none" w:sz="0" w:space="0" w:color="auto"/>
      </w:divBdr>
    </w:div>
    <w:div w:id="1536229804">
      <w:bodyDiv w:val="1"/>
      <w:marLeft w:val="0"/>
      <w:marRight w:val="0"/>
      <w:marTop w:val="0"/>
      <w:marBottom w:val="0"/>
      <w:divBdr>
        <w:top w:val="none" w:sz="0" w:space="0" w:color="auto"/>
        <w:left w:val="none" w:sz="0" w:space="0" w:color="auto"/>
        <w:bottom w:val="none" w:sz="0" w:space="0" w:color="auto"/>
        <w:right w:val="none" w:sz="0" w:space="0" w:color="auto"/>
      </w:divBdr>
    </w:div>
    <w:div w:id="1653943336">
      <w:bodyDiv w:val="1"/>
      <w:marLeft w:val="0"/>
      <w:marRight w:val="0"/>
      <w:marTop w:val="0"/>
      <w:marBottom w:val="0"/>
      <w:divBdr>
        <w:top w:val="none" w:sz="0" w:space="0" w:color="auto"/>
        <w:left w:val="none" w:sz="0" w:space="0" w:color="auto"/>
        <w:bottom w:val="none" w:sz="0" w:space="0" w:color="auto"/>
        <w:right w:val="none" w:sz="0" w:space="0" w:color="auto"/>
      </w:divBdr>
    </w:div>
    <w:div w:id="1738891942">
      <w:bodyDiv w:val="1"/>
      <w:marLeft w:val="0"/>
      <w:marRight w:val="0"/>
      <w:marTop w:val="0"/>
      <w:marBottom w:val="0"/>
      <w:divBdr>
        <w:top w:val="none" w:sz="0" w:space="0" w:color="auto"/>
        <w:left w:val="none" w:sz="0" w:space="0" w:color="auto"/>
        <w:bottom w:val="none" w:sz="0" w:space="0" w:color="auto"/>
        <w:right w:val="none" w:sz="0" w:space="0" w:color="auto"/>
      </w:divBdr>
    </w:div>
    <w:div w:id="1744912191">
      <w:bodyDiv w:val="1"/>
      <w:marLeft w:val="0"/>
      <w:marRight w:val="0"/>
      <w:marTop w:val="0"/>
      <w:marBottom w:val="0"/>
      <w:divBdr>
        <w:top w:val="none" w:sz="0" w:space="0" w:color="auto"/>
        <w:left w:val="none" w:sz="0" w:space="0" w:color="auto"/>
        <w:bottom w:val="none" w:sz="0" w:space="0" w:color="auto"/>
        <w:right w:val="none" w:sz="0" w:space="0" w:color="auto"/>
      </w:divBdr>
    </w:div>
    <w:div w:id="17589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ata.wood\AppData\Roaming\Microsoft\Templates\AMEC\AMEC%20Memo%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50E19EAE54D46919A29A2FCD7C09E" ma:contentTypeVersion="0" ma:contentTypeDescription="Create a new document." ma:contentTypeScope="" ma:versionID="c86bd1b4bd9ca60b64034d8b86c74ad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FC9EB-EE92-444F-96FA-4731849AC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B6BAD9-68F6-484C-A4A9-AED2E17AD5E7}">
  <ds:schemaRefs>
    <ds:schemaRef ds:uri="http://purl.org/dc/elements/1.1/"/>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D5B7DD04-D30D-4971-BB71-9B85271193BB}">
  <ds:schemaRefs>
    <ds:schemaRef ds:uri="http://schemas.microsoft.com/sharepoint/v3/contenttype/forms"/>
  </ds:schemaRefs>
</ds:datastoreItem>
</file>

<file path=customXml/itemProps4.xml><?xml version="1.0" encoding="utf-8"?>
<ds:datastoreItem xmlns:ds="http://schemas.openxmlformats.org/officeDocument/2006/customXml" ds:itemID="{D37BD727-C710-4193-A8BE-5CD244BE2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AMEC Memo Template.dot</Template>
  <TotalTime>36</TotalTime>
  <Pages>13</Pages>
  <Words>4811</Words>
  <Characters>25949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AMEC Memo Template</vt:lpstr>
    </vt:vector>
  </TitlesOfParts>
  <Company>RCN Consulting</Company>
  <LinksUpToDate>false</LinksUpToDate>
  <CharactersWithSpaces>30699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AMEC Memo Template</dc:title>
  <dc:creator>AMEC</dc:creator>
  <dc:description>For support contact:_x000d_
604.444.4277 or_x000d_
rcnconsulting@telus.net</dc:description>
  <cp:lastModifiedBy>Mcfadyen, Joyce</cp:lastModifiedBy>
  <cp:revision>8</cp:revision>
  <cp:lastPrinted>2014-12-17T15:25:00Z</cp:lastPrinted>
  <dcterms:created xsi:type="dcterms:W3CDTF">2014-12-16T23:10:00Z</dcterms:created>
  <dcterms:modified xsi:type="dcterms:W3CDTF">2014-12-17T15:26:00Z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0x01010077F50E19EAE54D46919A29A2FCD7C09E</vt:lpwstr>
  </property>
</Properties>
</file>