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37" w:rsidRPr="00BA4F53" w:rsidRDefault="00AB16F6" w:rsidP="00F86937">
      <w:pPr>
        <w:pStyle w:val="Title"/>
        <w:spacing w:before="240" w:after="120"/>
        <w:ind w:left="720"/>
        <w:jc w:val="right"/>
        <w:rPr>
          <w:rStyle w:val="Strong"/>
          <w:rFonts w:ascii="Arial" w:hAnsi="Arial" w:cs="Arial"/>
          <w:bCs/>
          <w:szCs w:val="22"/>
        </w:rPr>
      </w:pPr>
      <w:r>
        <w:rPr>
          <w:rStyle w:val="Strong"/>
          <w:rFonts w:ascii="Arial" w:hAnsi="Arial" w:cs="Arial"/>
          <w:bCs/>
          <w:szCs w:val="22"/>
        </w:rPr>
        <w:t>,</w:t>
      </w:r>
    </w:p>
    <w:p w:rsidR="00F86937" w:rsidRPr="00BA4F53" w:rsidRDefault="00F86937" w:rsidP="00F86937">
      <w:pPr>
        <w:pStyle w:val="Title"/>
        <w:spacing w:before="240" w:after="120"/>
        <w:ind w:left="720"/>
        <w:jc w:val="right"/>
        <w:rPr>
          <w:rStyle w:val="Strong"/>
          <w:rFonts w:ascii="Arial" w:hAnsi="Arial" w:cs="Arial"/>
          <w:bCs/>
          <w:szCs w:val="22"/>
        </w:rPr>
      </w:pPr>
    </w:p>
    <w:p w:rsidR="00F86937" w:rsidRPr="00BA4F53" w:rsidRDefault="00F86937" w:rsidP="00F86937">
      <w:pPr>
        <w:pStyle w:val="Title"/>
        <w:spacing w:before="240" w:after="120"/>
        <w:ind w:left="720"/>
        <w:jc w:val="right"/>
        <w:rPr>
          <w:rStyle w:val="Strong"/>
          <w:rFonts w:ascii="Arial" w:hAnsi="Arial" w:cs="Arial"/>
          <w:b/>
          <w:bCs/>
          <w:sz w:val="48"/>
        </w:rPr>
      </w:pPr>
      <w:r w:rsidRPr="00BA4F53">
        <w:rPr>
          <w:rStyle w:val="Strong"/>
          <w:rFonts w:ascii="Arial" w:hAnsi="Arial" w:cs="Arial"/>
          <w:b/>
          <w:bCs/>
          <w:sz w:val="48"/>
        </w:rPr>
        <w:t>Mount Nansen Remediation Project</w:t>
      </w:r>
    </w:p>
    <w:p w:rsidR="00D97D8A" w:rsidRDefault="00477748" w:rsidP="00F86937">
      <w:pPr>
        <w:pStyle w:val="Subtitle"/>
        <w:spacing w:before="240" w:after="120"/>
        <w:ind w:left="540"/>
        <w:rPr>
          <w:rFonts w:ascii="Arial" w:hAnsi="Arial"/>
          <w:bCs/>
          <w:sz w:val="40"/>
          <w:szCs w:val="40"/>
        </w:rPr>
      </w:pPr>
      <w:r w:rsidRPr="00BA4F53">
        <w:rPr>
          <w:rFonts w:ascii="Arial" w:hAnsi="Arial"/>
          <w:bCs/>
          <w:sz w:val="40"/>
          <w:szCs w:val="40"/>
        </w:rPr>
        <w:t xml:space="preserve">Review of </w:t>
      </w:r>
      <w:r w:rsidR="00D97D8A">
        <w:rPr>
          <w:rFonts w:ascii="Arial" w:hAnsi="Arial"/>
          <w:bCs/>
          <w:sz w:val="40"/>
          <w:szCs w:val="40"/>
        </w:rPr>
        <w:t>Phase 1 (</w:t>
      </w:r>
      <w:r w:rsidR="00D97D8A" w:rsidRPr="00BA4F53">
        <w:rPr>
          <w:rFonts w:ascii="Arial" w:hAnsi="Arial"/>
          <w:bCs/>
          <w:sz w:val="40"/>
          <w:szCs w:val="40"/>
        </w:rPr>
        <w:t>30% Design Phase</w:t>
      </w:r>
      <w:r w:rsidR="00D97D8A">
        <w:rPr>
          <w:rFonts w:ascii="Arial" w:hAnsi="Arial"/>
          <w:bCs/>
          <w:sz w:val="40"/>
          <w:szCs w:val="40"/>
        </w:rPr>
        <w:t>)</w:t>
      </w:r>
    </w:p>
    <w:p w:rsidR="00F86937" w:rsidRPr="00BA4F53" w:rsidRDefault="00013CFB" w:rsidP="00F86937">
      <w:pPr>
        <w:pStyle w:val="Subtitle"/>
        <w:spacing w:before="240" w:after="120"/>
        <w:ind w:left="540"/>
        <w:rPr>
          <w:rFonts w:ascii="Arial" w:hAnsi="Arial"/>
          <w:bCs/>
          <w:sz w:val="40"/>
          <w:szCs w:val="40"/>
        </w:rPr>
      </w:pPr>
      <w:r w:rsidRPr="00BA4F53">
        <w:rPr>
          <w:rFonts w:ascii="Arial" w:hAnsi="Arial"/>
          <w:bCs/>
          <w:sz w:val="40"/>
          <w:szCs w:val="40"/>
        </w:rPr>
        <w:t xml:space="preserve">Cost Estimate </w:t>
      </w:r>
      <w:r w:rsidR="00DA2854" w:rsidRPr="00BA4F53">
        <w:rPr>
          <w:rFonts w:ascii="Arial" w:hAnsi="Arial"/>
          <w:bCs/>
          <w:sz w:val="40"/>
          <w:szCs w:val="40"/>
        </w:rPr>
        <w:t>Scope and Base</w:t>
      </w:r>
      <w:r w:rsidR="00477748" w:rsidRPr="00BA4F53">
        <w:rPr>
          <w:rFonts w:ascii="Arial" w:hAnsi="Arial"/>
          <w:bCs/>
          <w:sz w:val="40"/>
          <w:szCs w:val="40"/>
        </w:rPr>
        <w:t>s</w:t>
      </w: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bCs/>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r w:rsidRPr="00BA4F53">
        <w:rPr>
          <w:rFonts w:ascii="Arial" w:hAnsi="Arial"/>
        </w:rPr>
        <w:t>Submitted to:</w:t>
      </w: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b/>
        </w:rPr>
      </w:pPr>
      <w:r w:rsidRPr="00BA4F53">
        <w:rPr>
          <w:rFonts w:ascii="Arial" w:hAnsi="Arial"/>
          <w:b/>
        </w:rPr>
        <w:t xml:space="preserve">Assessment and Abandoned Mines </w:t>
      </w:r>
      <w:r w:rsidRPr="00BA4F53">
        <w:rPr>
          <w:rFonts w:ascii="Arial" w:hAnsi="Arial"/>
          <w:b/>
        </w:rPr>
        <w:br/>
        <w:t>Energy Mines and Resources</w:t>
      </w:r>
    </w:p>
    <w:p w:rsidR="00F86937" w:rsidRPr="00BA4F53" w:rsidRDefault="00F86937" w:rsidP="00F86937">
      <w:pPr>
        <w:pStyle w:val="BodyText"/>
        <w:spacing w:before="0"/>
        <w:ind w:left="0"/>
        <w:jc w:val="right"/>
        <w:rPr>
          <w:rFonts w:ascii="Arial" w:hAnsi="Arial"/>
          <w:b/>
        </w:rPr>
      </w:pPr>
      <w:r w:rsidRPr="00BA4F53">
        <w:rPr>
          <w:rFonts w:ascii="Arial" w:hAnsi="Arial"/>
          <w:b/>
        </w:rPr>
        <w:t>Whitehorse, YT</w:t>
      </w: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r w:rsidRPr="00BA4F53">
        <w:rPr>
          <w:rFonts w:ascii="Arial" w:hAnsi="Arial"/>
        </w:rPr>
        <w:t>Submitted by:</w:t>
      </w:r>
    </w:p>
    <w:p w:rsidR="00F86937" w:rsidRPr="00BA4F53" w:rsidRDefault="00F86937" w:rsidP="00F86937">
      <w:pPr>
        <w:pStyle w:val="BodyText"/>
        <w:spacing w:before="0"/>
        <w:ind w:left="0"/>
        <w:jc w:val="right"/>
        <w:rPr>
          <w:rFonts w:ascii="Arial" w:hAnsi="Arial"/>
          <w:b/>
          <w:bCs/>
        </w:rPr>
      </w:pPr>
    </w:p>
    <w:p w:rsidR="00F86937" w:rsidRPr="00BA4F53" w:rsidRDefault="00F86937" w:rsidP="00F86937">
      <w:pPr>
        <w:spacing w:line="276" w:lineRule="auto"/>
        <w:jc w:val="right"/>
        <w:rPr>
          <w:rFonts w:ascii="Arial" w:hAnsi="Arial" w:cs="Arial"/>
          <w:b/>
          <w:bCs/>
        </w:rPr>
      </w:pPr>
      <w:r w:rsidRPr="00BA4F53">
        <w:rPr>
          <w:rFonts w:ascii="Arial" w:hAnsi="Arial" w:cs="Arial"/>
          <w:b/>
          <w:bCs/>
        </w:rPr>
        <w:t>AMEC Environment &amp; Infrastructure,</w:t>
      </w:r>
    </w:p>
    <w:p w:rsidR="00F86937" w:rsidRPr="00BA4F53" w:rsidRDefault="00F86937" w:rsidP="00F86937">
      <w:pPr>
        <w:spacing w:line="276" w:lineRule="auto"/>
        <w:jc w:val="right"/>
        <w:rPr>
          <w:rFonts w:ascii="Arial" w:hAnsi="Arial" w:cs="Arial"/>
        </w:rPr>
      </w:pPr>
      <w:proofErr w:type="gramStart"/>
      <w:r w:rsidRPr="00BA4F53">
        <w:rPr>
          <w:rFonts w:ascii="Arial" w:hAnsi="Arial" w:cs="Arial"/>
          <w:b/>
          <w:bCs/>
        </w:rPr>
        <w:t>a</w:t>
      </w:r>
      <w:proofErr w:type="gramEnd"/>
      <w:r w:rsidRPr="00BA4F53">
        <w:rPr>
          <w:rFonts w:ascii="Arial" w:hAnsi="Arial" w:cs="Arial"/>
          <w:b/>
          <w:bCs/>
        </w:rPr>
        <w:t xml:space="preserve"> Division of AMEC Americas Limited</w:t>
      </w:r>
    </w:p>
    <w:p w:rsidR="00F86937" w:rsidRPr="00BA4F53" w:rsidRDefault="00F86937" w:rsidP="00F86937">
      <w:pPr>
        <w:pStyle w:val="BodyText"/>
        <w:spacing w:before="0"/>
        <w:ind w:left="0"/>
        <w:jc w:val="right"/>
        <w:rPr>
          <w:rFonts w:ascii="Arial" w:hAnsi="Arial"/>
          <w:b/>
        </w:rPr>
      </w:pPr>
      <w:r w:rsidRPr="00BA4F53">
        <w:rPr>
          <w:rFonts w:ascii="Arial" w:hAnsi="Arial"/>
          <w:b/>
        </w:rPr>
        <w:t>Burnaby, BC</w:t>
      </w: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F86937" w:rsidRPr="00BA4F53" w:rsidRDefault="00754A29" w:rsidP="00F86937">
      <w:pPr>
        <w:pStyle w:val="BodyText"/>
        <w:spacing w:before="0"/>
        <w:ind w:left="0"/>
        <w:jc w:val="right"/>
        <w:rPr>
          <w:rFonts w:ascii="Arial" w:hAnsi="Arial"/>
          <w:b/>
        </w:rPr>
      </w:pPr>
      <w:r>
        <w:rPr>
          <w:rFonts w:ascii="Arial" w:hAnsi="Arial"/>
          <w:b/>
        </w:rPr>
        <w:t>December 18</w:t>
      </w:r>
      <w:r w:rsidR="00F86937" w:rsidRPr="00BA4F53">
        <w:rPr>
          <w:rFonts w:ascii="Arial" w:hAnsi="Arial"/>
          <w:b/>
        </w:rPr>
        <w:t>, 2014</w:t>
      </w:r>
    </w:p>
    <w:p w:rsidR="00F86937" w:rsidRPr="00BA4F53" w:rsidRDefault="00F86937" w:rsidP="00F86937">
      <w:pPr>
        <w:pStyle w:val="BodyText"/>
        <w:spacing w:before="0"/>
        <w:ind w:left="0"/>
        <w:jc w:val="right"/>
        <w:rPr>
          <w:rFonts w:ascii="Arial" w:hAnsi="Arial"/>
        </w:rPr>
      </w:pPr>
    </w:p>
    <w:p w:rsidR="00F86937" w:rsidRPr="00BA4F53" w:rsidRDefault="00F86937" w:rsidP="00F86937">
      <w:pPr>
        <w:pStyle w:val="BodyText"/>
        <w:spacing w:before="0"/>
        <w:ind w:left="0"/>
        <w:jc w:val="right"/>
        <w:rPr>
          <w:rFonts w:ascii="Arial" w:hAnsi="Arial"/>
        </w:rPr>
      </w:pPr>
    </w:p>
    <w:p w:rsidR="00835328" w:rsidRPr="00BA4F53" w:rsidRDefault="00F86937" w:rsidP="00F86937">
      <w:pPr>
        <w:pStyle w:val="BodyText"/>
        <w:ind w:left="0"/>
        <w:jc w:val="right"/>
        <w:rPr>
          <w:rFonts w:ascii="Arial" w:hAnsi="Arial"/>
        </w:rPr>
      </w:pPr>
      <w:r w:rsidRPr="00BA4F53">
        <w:rPr>
          <w:rFonts w:ascii="Arial" w:hAnsi="Arial"/>
        </w:rPr>
        <w:t xml:space="preserve">AMEC File: </w:t>
      </w:r>
      <w:proofErr w:type="spellStart"/>
      <w:r w:rsidRPr="00BA4F53">
        <w:rPr>
          <w:rFonts w:ascii="Arial" w:hAnsi="Arial"/>
        </w:rPr>
        <w:t>VM00605</w:t>
      </w:r>
      <w:r w:rsidR="00013CFB" w:rsidRPr="00BA4F53">
        <w:rPr>
          <w:rFonts w:ascii="Arial" w:hAnsi="Arial"/>
        </w:rPr>
        <w:t>K</w:t>
      </w:r>
      <w:r w:rsidRPr="00BA4F53">
        <w:rPr>
          <w:rFonts w:ascii="Arial" w:hAnsi="Arial"/>
        </w:rPr>
        <w:t>.</w:t>
      </w:r>
      <w:r w:rsidR="00013CFB" w:rsidRPr="00BA4F53">
        <w:rPr>
          <w:rFonts w:ascii="Arial" w:hAnsi="Arial"/>
        </w:rPr>
        <w:t>1.105</w:t>
      </w:r>
      <w:proofErr w:type="spellEnd"/>
    </w:p>
    <w:p w:rsidR="00F86937" w:rsidRPr="00BA4F53" w:rsidRDefault="00F86937" w:rsidP="00F86937">
      <w:pPr>
        <w:pStyle w:val="BodyText"/>
      </w:pPr>
    </w:p>
    <w:p w:rsidR="00835328" w:rsidRPr="00BA4F53" w:rsidRDefault="00835328" w:rsidP="000E26CA">
      <w:pPr>
        <w:pStyle w:val="BodyText"/>
        <w:sectPr w:rsidR="00835328" w:rsidRPr="00BA4F53" w:rsidSect="00F86937">
          <w:headerReference w:type="default" r:id="rId16"/>
          <w:pgSz w:w="12240" w:h="15840" w:code="1"/>
          <w:pgMar w:top="720" w:right="1296" w:bottom="720" w:left="1296" w:header="720" w:footer="720" w:gutter="0"/>
          <w:pgNumType w:fmt="lowerRoman" w:start="1"/>
          <w:cols w:space="720"/>
        </w:sectPr>
      </w:pPr>
    </w:p>
    <w:p w:rsidR="00752BC4" w:rsidRPr="00BA4F53" w:rsidRDefault="00752BC4" w:rsidP="00BA2047">
      <w:pPr>
        <w:pStyle w:val="TableofContents"/>
        <w:spacing w:after="120"/>
        <w:rPr>
          <w:rFonts w:ascii="Arial" w:hAnsi="Arial" w:cs="Arial"/>
          <w:szCs w:val="22"/>
        </w:rPr>
      </w:pPr>
      <w:r w:rsidRPr="00BA4F53">
        <w:rPr>
          <w:rFonts w:ascii="Arial" w:hAnsi="Arial" w:cs="Arial"/>
          <w:szCs w:val="22"/>
        </w:rPr>
        <w:lastRenderedPageBreak/>
        <w:t>TABLE OF CONTENTS</w:t>
      </w:r>
    </w:p>
    <w:p w:rsidR="00752BC4" w:rsidRPr="00BA4F53" w:rsidRDefault="00752BC4" w:rsidP="00BA2047">
      <w:pPr>
        <w:spacing w:after="120"/>
        <w:jc w:val="right"/>
        <w:rPr>
          <w:rFonts w:ascii="Arial" w:hAnsi="Arial" w:cs="Arial"/>
          <w:b/>
          <w:szCs w:val="22"/>
        </w:rPr>
      </w:pPr>
      <w:r w:rsidRPr="00BA4F53">
        <w:rPr>
          <w:rFonts w:ascii="Arial" w:hAnsi="Arial" w:cs="Arial"/>
          <w:b/>
          <w:szCs w:val="22"/>
        </w:rPr>
        <w:t>Page</w:t>
      </w:r>
    </w:p>
    <w:p w:rsidR="009E1E4F" w:rsidRPr="009E1E4F" w:rsidRDefault="00A61AE1" w:rsidP="009E1E4F">
      <w:pPr>
        <w:pStyle w:val="TOC1"/>
        <w:tabs>
          <w:tab w:val="clear" w:pos="1440"/>
        </w:tabs>
        <w:ind w:left="720" w:hanging="720"/>
        <w:rPr>
          <w:rFonts w:ascii="Arial" w:eastAsiaTheme="minorEastAsia" w:hAnsi="Arial" w:cs="Arial"/>
          <w:caps/>
          <w:szCs w:val="22"/>
          <w:lang w:eastAsia="en-CA"/>
        </w:rPr>
      </w:pPr>
      <w:r w:rsidRPr="009E1E4F">
        <w:rPr>
          <w:rFonts w:ascii="Arial" w:hAnsi="Arial" w:cs="Arial"/>
          <w:noProof w:val="0"/>
          <w:szCs w:val="22"/>
        </w:rPr>
        <w:fldChar w:fldCharType="begin"/>
      </w:r>
      <w:r w:rsidR="009A5052" w:rsidRPr="009E1E4F">
        <w:rPr>
          <w:rFonts w:ascii="Arial" w:hAnsi="Arial" w:cs="Arial"/>
          <w:noProof w:val="0"/>
          <w:szCs w:val="22"/>
        </w:rPr>
        <w:instrText xml:space="preserve"> TOC \h \z \t "Heading 1,1,Heading 2,2,Heading 3,3" </w:instrText>
      </w:r>
      <w:r w:rsidRPr="009E1E4F">
        <w:rPr>
          <w:rFonts w:ascii="Arial" w:hAnsi="Arial" w:cs="Arial"/>
          <w:noProof w:val="0"/>
          <w:szCs w:val="22"/>
        </w:rPr>
        <w:fldChar w:fldCharType="separate"/>
      </w:r>
      <w:hyperlink w:anchor="_Toc404336626" w:history="1">
        <w:r w:rsidR="009E1E4F" w:rsidRPr="009E1E4F">
          <w:rPr>
            <w:rStyle w:val="Hyperlink"/>
            <w:rFonts w:ascii="Arial" w:hAnsi="Arial" w:cs="Arial"/>
            <w:caps/>
            <w:color w:val="auto"/>
            <w:u w:val="none"/>
          </w:rPr>
          <w:t>1</w:t>
        </w:r>
        <w:r w:rsidR="009E1E4F" w:rsidRPr="009E1E4F">
          <w:rPr>
            <w:rFonts w:ascii="Arial" w:eastAsiaTheme="minorEastAsia" w:hAnsi="Arial" w:cs="Arial"/>
            <w:caps/>
            <w:szCs w:val="22"/>
            <w:lang w:eastAsia="en-CA"/>
          </w:rPr>
          <w:tab/>
        </w:r>
        <w:r w:rsidR="009E1E4F" w:rsidRPr="009E1E4F">
          <w:rPr>
            <w:rStyle w:val="Hyperlink"/>
            <w:rFonts w:ascii="Arial" w:hAnsi="Arial" w:cs="Arial"/>
            <w:caps/>
            <w:color w:val="auto"/>
            <w:u w:val="none"/>
          </w:rPr>
          <w:t>Introduction</w:t>
        </w:r>
        <w:r w:rsidR="009E1E4F" w:rsidRPr="009E1E4F">
          <w:rPr>
            <w:rFonts w:ascii="Arial" w:hAnsi="Arial" w:cs="Arial"/>
            <w:caps/>
            <w:webHidden/>
          </w:rPr>
          <w:tab/>
        </w:r>
        <w:r w:rsidR="009E1E4F" w:rsidRPr="009E1E4F">
          <w:rPr>
            <w:rFonts w:ascii="Arial" w:hAnsi="Arial" w:cs="Arial"/>
            <w:caps/>
            <w:webHidden/>
          </w:rPr>
          <w:fldChar w:fldCharType="begin"/>
        </w:r>
        <w:r w:rsidR="009E1E4F" w:rsidRPr="009E1E4F">
          <w:rPr>
            <w:rFonts w:ascii="Arial" w:hAnsi="Arial" w:cs="Arial"/>
            <w:caps/>
            <w:webHidden/>
          </w:rPr>
          <w:instrText xml:space="preserve"> PAGEREF _Toc404336626 \h </w:instrText>
        </w:r>
        <w:r w:rsidR="009E1E4F" w:rsidRPr="009E1E4F">
          <w:rPr>
            <w:rFonts w:ascii="Arial" w:hAnsi="Arial" w:cs="Arial"/>
            <w:caps/>
            <w:webHidden/>
          </w:rPr>
        </w:r>
        <w:r w:rsidR="009E1E4F" w:rsidRPr="009E1E4F">
          <w:rPr>
            <w:rFonts w:ascii="Arial" w:hAnsi="Arial" w:cs="Arial"/>
            <w:caps/>
            <w:webHidden/>
          </w:rPr>
          <w:fldChar w:fldCharType="separate"/>
        </w:r>
        <w:r w:rsidR="005C7D57">
          <w:rPr>
            <w:rFonts w:ascii="Arial" w:hAnsi="Arial" w:cs="Arial"/>
            <w:caps/>
            <w:webHidden/>
          </w:rPr>
          <w:t>1</w:t>
        </w:r>
        <w:r w:rsidR="009E1E4F" w:rsidRPr="009E1E4F">
          <w:rPr>
            <w:rFonts w:ascii="Arial" w:hAnsi="Arial" w:cs="Arial"/>
            <w:caps/>
            <w:webHidden/>
          </w:rPr>
          <w:fldChar w:fldCharType="end"/>
        </w:r>
      </w:hyperlink>
    </w:p>
    <w:p w:rsidR="009E1E4F" w:rsidRPr="009E1E4F" w:rsidRDefault="00DA1AC9" w:rsidP="009E1E4F">
      <w:pPr>
        <w:pStyle w:val="TOC2"/>
        <w:tabs>
          <w:tab w:val="clear" w:pos="1080"/>
          <w:tab w:val="left" w:pos="1440"/>
        </w:tabs>
        <w:ind w:left="720"/>
        <w:rPr>
          <w:rFonts w:ascii="Arial" w:eastAsiaTheme="minorEastAsia" w:hAnsi="Arial" w:cs="Arial"/>
          <w:szCs w:val="22"/>
          <w:lang w:eastAsia="en-CA"/>
        </w:rPr>
      </w:pPr>
      <w:hyperlink w:anchor="_Toc404336627" w:history="1">
        <w:r w:rsidR="009E1E4F" w:rsidRPr="009E1E4F">
          <w:rPr>
            <w:rStyle w:val="Hyperlink"/>
            <w:rFonts w:ascii="Arial" w:hAnsi="Arial" w:cs="Arial"/>
            <w:color w:val="auto"/>
            <w:u w:val="none"/>
          </w:rPr>
          <w:t>1.1</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Background</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_Toc404336627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1</w:t>
        </w:r>
        <w:r w:rsidR="009E1E4F" w:rsidRPr="009E1E4F">
          <w:rPr>
            <w:rFonts w:ascii="Arial" w:hAnsi="Arial" w:cs="Arial"/>
            <w:webHidden/>
          </w:rPr>
          <w:fldChar w:fldCharType="end"/>
        </w:r>
      </w:hyperlink>
    </w:p>
    <w:p w:rsidR="009E1E4F" w:rsidRPr="009E1E4F" w:rsidRDefault="00DA1AC9" w:rsidP="009E1E4F">
      <w:pPr>
        <w:pStyle w:val="TOC2"/>
        <w:tabs>
          <w:tab w:val="clear" w:pos="1080"/>
          <w:tab w:val="left" w:pos="1440"/>
        </w:tabs>
        <w:ind w:left="720"/>
        <w:rPr>
          <w:rFonts w:ascii="Arial" w:eastAsiaTheme="minorEastAsia" w:hAnsi="Arial" w:cs="Arial"/>
          <w:szCs w:val="22"/>
          <w:lang w:eastAsia="en-CA"/>
        </w:rPr>
      </w:pPr>
      <w:hyperlink w:anchor="_Toc404336628" w:history="1">
        <w:r w:rsidR="009E1E4F" w:rsidRPr="009E1E4F">
          <w:rPr>
            <w:rStyle w:val="Hyperlink"/>
            <w:rFonts w:ascii="Arial" w:hAnsi="Arial" w:cs="Arial"/>
            <w:color w:val="auto"/>
            <w:u w:val="none"/>
          </w:rPr>
          <w:t>1.2</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Objective</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_Toc404336628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1</w:t>
        </w:r>
        <w:r w:rsidR="009E1E4F" w:rsidRPr="009E1E4F">
          <w:rPr>
            <w:rFonts w:ascii="Arial" w:hAnsi="Arial" w:cs="Arial"/>
            <w:webHidden/>
          </w:rPr>
          <w:fldChar w:fldCharType="end"/>
        </w:r>
      </w:hyperlink>
    </w:p>
    <w:p w:rsidR="009E1E4F" w:rsidRPr="009E1E4F" w:rsidRDefault="00DA1AC9" w:rsidP="009E1E4F">
      <w:pPr>
        <w:pStyle w:val="TOC2"/>
        <w:tabs>
          <w:tab w:val="clear" w:pos="1080"/>
          <w:tab w:val="left" w:pos="1440"/>
        </w:tabs>
        <w:ind w:left="720"/>
        <w:rPr>
          <w:rFonts w:ascii="Arial" w:eastAsiaTheme="minorEastAsia" w:hAnsi="Arial" w:cs="Arial"/>
          <w:szCs w:val="22"/>
          <w:lang w:eastAsia="en-CA"/>
        </w:rPr>
      </w:pPr>
      <w:hyperlink w:anchor="_Toc404336629" w:history="1">
        <w:r w:rsidR="009E1E4F" w:rsidRPr="009E1E4F">
          <w:rPr>
            <w:rStyle w:val="Hyperlink"/>
            <w:rFonts w:ascii="Arial" w:hAnsi="Arial" w:cs="Arial"/>
            <w:color w:val="auto"/>
            <w:u w:val="none"/>
          </w:rPr>
          <w:t>1.3</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Scope of Work</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_Toc404336629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1</w:t>
        </w:r>
        <w:r w:rsidR="009E1E4F" w:rsidRPr="009E1E4F">
          <w:rPr>
            <w:rFonts w:ascii="Arial" w:hAnsi="Arial" w:cs="Arial"/>
            <w:webHidden/>
          </w:rPr>
          <w:fldChar w:fldCharType="end"/>
        </w:r>
      </w:hyperlink>
    </w:p>
    <w:p w:rsidR="009E1E4F" w:rsidRPr="009E1E4F" w:rsidRDefault="00DA1AC9" w:rsidP="009E1E4F">
      <w:pPr>
        <w:pStyle w:val="TOC2"/>
        <w:tabs>
          <w:tab w:val="clear" w:pos="1080"/>
          <w:tab w:val="left" w:pos="1440"/>
        </w:tabs>
        <w:ind w:left="720"/>
        <w:rPr>
          <w:rFonts w:ascii="Arial" w:eastAsiaTheme="minorEastAsia" w:hAnsi="Arial" w:cs="Arial"/>
          <w:szCs w:val="22"/>
          <w:lang w:eastAsia="en-CA"/>
        </w:rPr>
      </w:pPr>
      <w:hyperlink w:anchor="_Toc404336630" w:history="1">
        <w:r w:rsidR="009E1E4F" w:rsidRPr="009E1E4F">
          <w:rPr>
            <w:rStyle w:val="Hyperlink"/>
            <w:rFonts w:ascii="Arial" w:hAnsi="Arial" w:cs="Arial"/>
            <w:color w:val="auto"/>
            <w:u w:val="none"/>
          </w:rPr>
          <w:t>1.4</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Methodology</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_Toc404336630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2</w:t>
        </w:r>
        <w:r w:rsidR="009E1E4F" w:rsidRPr="009E1E4F">
          <w:rPr>
            <w:rFonts w:ascii="Arial" w:hAnsi="Arial" w:cs="Arial"/>
            <w:webHidden/>
          </w:rPr>
          <w:fldChar w:fldCharType="end"/>
        </w:r>
      </w:hyperlink>
    </w:p>
    <w:p w:rsidR="009E1E4F" w:rsidRPr="009E1E4F" w:rsidRDefault="00DA1AC9" w:rsidP="009E1E4F">
      <w:pPr>
        <w:pStyle w:val="TOC3"/>
        <w:tabs>
          <w:tab w:val="clear" w:pos="1080"/>
          <w:tab w:val="clear" w:pos="1800"/>
          <w:tab w:val="left" w:pos="2160"/>
        </w:tabs>
        <w:ind w:left="1440"/>
        <w:rPr>
          <w:rFonts w:ascii="Arial" w:eastAsiaTheme="minorEastAsia" w:hAnsi="Arial" w:cs="Arial"/>
          <w:szCs w:val="22"/>
          <w:lang w:eastAsia="en-CA"/>
        </w:rPr>
      </w:pPr>
      <w:hyperlink w:anchor="_Toc404336631" w:history="1">
        <w:r w:rsidR="009E1E4F" w:rsidRPr="009E1E4F">
          <w:rPr>
            <w:rStyle w:val="Hyperlink"/>
            <w:rFonts w:ascii="Arial" w:hAnsi="Arial" w:cs="Arial"/>
            <w:color w:val="auto"/>
            <w:u w:val="none"/>
          </w:rPr>
          <w:t>1.4.1</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Cost Reconciliation</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_Toc404336631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2</w:t>
        </w:r>
        <w:r w:rsidR="009E1E4F" w:rsidRPr="009E1E4F">
          <w:rPr>
            <w:rFonts w:ascii="Arial" w:hAnsi="Arial" w:cs="Arial"/>
            <w:webHidden/>
          </w:rPr>
          <w:fldChar w:fldCharType="end"/>
        </w:r>
      </w:hyperlink>
    </w:p>
    <w:p w:rsidR="009E1E4F" w:rsidRPr="009E1E4F" w:rsidRDefault="00DA1AC9" w:rsidP="009E1E4F">
      <w:pPr>
        <w:pStyle w:val="TOC3"/>
        <w:tabs>
          <w:tab w:val="clear" w:pos="1080"/>
          <w:tab w:val="clear" w:pos="1800"/>
          <w:tab w:val="left" w:pos="2160"/>
        </w:tabs>
        <w:ind w:left="1440"/>
        <w:rPr>
          <w:rFonts w:ascii="Arial" w:eastAsiaTheme="minorEastAsia" w:hAnsi="Arial" w:cs="Arial"/>
          <w:szCs w:val="22"/>
          <w:lang w:eastAsia="en-CA"/>
        </w:rPr>
      </w:pPr>
      <w:hyperlink w:anchor="_Toc404336632" w:history="1">
        <w:r w:rsidR="009E1E4F" w:rsidRPr="009E1E4F">
          <w:rPr>
            <w:rStyle w:val="Hyperlink"/>
            <w:rFonts w:ascii="Arial" w:hAnsi="Arial" w:cs="Arial"/>
            <w:color w:val="auto"/>
            <w:u w:val="none"/>
          </w:rPr>
          <w:t>1.4.2</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Updating Estimating Assumptions</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_Toc404336632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2</w:t>
        </w:r>
        <w:r w:rsidR="009E1E4F" w:rsidRPr="009E1E4F">
          <w:rPr>
            <w:rFonts w:ascii="Arial" w:hAnsi="Arial" w:cs="Arial"/>
            <w:webHidden/>
          </w:rPr>
          <w:fldChar w:fldCharType="end"/>
        </w:r>
      </w:hyperlink>
    </w:p>
    <w:p w:rsidR="009E1E4F" w:rsidRPr="009E1E4F" w:rsidRDefault="00DA1AC9" w:rsidP="009E1E4F">
      <w:pPr>
        <w:pStyle w:val="TOC3"/>
        <w:tabs>
          <w:tab w:val="clear" w:pos="1080"/>
          <w:tab w:val="clear" w:pos="1800"/>
          <w:tab w:val="left" w:pos="2160"/>
        </w:tabs>
        <w:ind w:left="1440"/>
        <w:rPr>
          <w:rFonts w:ascii="Arial" w:eastAsiaTheme="minorEastAsia" w:hAnsi="Arial" w:cs="Arial"/>
          <w:szCs w:val="22"/>
          <w:lang w:eastAsia="en-CA"/>
        </w:rPr>
      </w:pPr>
      <w:hyperlink w:anchor="_Toc404336633" w:history="1">
        <w:r w:rsidR="009E1E4F" w:rsidRPr="009E1E4F">
          <w:rPr>
            <w:rStyle w:val="Hyperlink"/>
            <w:rFonts w:ascii="Arial" w:hAnsi="Arial" w:cs="Arial"/>
            <w:color w:val="auto"/>
            <w:u w:val="none"/>
          </w:rPr>
          <w:t>1.4.3</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Assessment of Estimating Uncertainties (Sensitivity Assessment)</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_Toc404336633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2</w:t>
        </w:r>
        <w:r w:rsidR="009E1E4F" w:rsidRPr="009E1E4F">
          <w:rPr>
            <w:rFonts w:ascii="Arial" w:hAnsi="Arial" w:cs="Arial"/>
            <w:webHidden/>
          </w:rPr>
          <w:fldChar w:fldCharType="end"/>
        </w:r>
      </w:hyperlink>
    </w:p>
    <w:p w:rsidR="009E1E4F" w:rsidRPr="009E1E4F" w:rsidRDefault="00DA1AC9" w:rsidP="009E1E4F">
      <w:pPr>
        <w:pStyle w:val="TOC3"/>
        <w:tabs>
          <w:tab w:val="clear" w:pos="1080"/>
          <w:tab w:val="clear" w:pos="1800"/>
          <w:tab w:val="left" w:pos="2160"/>
        </w:tabs>
        <w:ind w:left="1440"/>
        <w:rPr>
          <w:rFonts w:ascii="Arial" w:eastAsiaTheme="minorEastAsia" w:hAnsi="Arial" w:cs="Arial"/>
          <w:szCs w:val="22"/>
          <w:lang w:eastAsia="en-CA"/>
        </w:rPr>
      </w:pPr>
      <w:hyperlink w:anchor="_Toc404336634" w:history="1">
        <w:r w:rsidR="009E1E4F" w:rsidRPr="009E1E4F">
          <w:rPr>
            <w:rStyle w:val="Hyperlink"/>
            <w:rFonts w:ascii="Arial" w:hAnsi="Arial" w:cs="Arial"/>
            <w:color w:val="auto"/>
            <w:u w:val="none"/>
          </w:rPr>
          <w:t>1.4.4</w:t>
        </w:r>
        <w:r w:rsidR="009E1E4F" w:rsidRPr="009E1E4F">
          <w:rPr>
            <w:rFonts w:ascii="Arial" w:eastAsiaTheme="minorEastAsia" w:hAnsi="Arial" w:cs="Arial"/>
            <w:szCs w:val="22"/>
            <w:lang w:eastAsia="en-CA"/>
          </w:rPr>
          <w:tab/>
        </w:r>
        <w:r w:rsidR="009E1E4F" w:rsidRPr="009E1E4F">
          <w:rPr>
            <w:rStyle w:val="Hyperlink"/>
            <w:rFonts w:ascii="Arial" w:hAnsi="Arial" w:cs="Arial"/>
            <w:color w:val="auto"/>
            <w:u w:val="none"/>
          </w:rPr>
          <w:t>Meetings</w:t>
        </w:r>
        <w:r w:rsidR="009E1E4F" w:rsidRPr="009E1E4F">
          <w:rPr>
            <w:rFonts w:ascii="Arial" w:hAnsi="Arial" w:cs="Arial"/>
            <w:webHidden/>
          </w:rPr>
          <w:tab/>
        </w:r>
        <w:r w:rsidR="009E1E4F" w:rsidRPr="009E1E4F">
          <w:rPr>
            <w:rFonts w:ascii="Arial" w:hAnsi="Arial" w:cs="Arial"/>
            <w:webHidden/>
          </w:rPr>
          <w:fldChar w:fldCharType="begin"/>
        </w:r>
        <w:r w:rsidR="009E1E4F" w:rsidRPr="009E1E4F">
          <w:rPr>
            <w:rFonts w:ascii="Arial" w:hAnsi="Arial" w:cs="Arial"/>
            <w:webHidden/>
          </w:rPr>
          <w:instrText xml:space="preserve"> PAGEREF _Toc404336634 \h </w:instrText>
        </w:r>
        <w:r w:rsidR="009E1E4F" w:rsidRPr="009E1E4F">
          <w:rPr>
            <w:rFonts w:ascii="Arial" w:hAnsi="Arial" w:cs="Arial"/>
            <w:webHidden/>
          </w:rPr>
        </w:r>
        <w:r w:rsidR="009E1E4F" w:rsidRPr="009E1E4F">
          <w:rPr>
            <w:rFonts w:ascii="Arial" w:hAnsi="Arial" w:cs="Arial"/>
            <w:webHidden/>
          </w:rPr>
          <w:fldChar w:fldCharType="separate"/>
        </w:r>
        <w:r w:rsidR="005C7D57">
          <w:rPr>
            <w:rFonts w:ascii="Arial" w:hAnsi="Arial" w:cs="Arial"/>
            <w:webHidden/>
          </w:rPr>
          <w:t>3</w:t>
        </w:r>
        <w:r w:rsidR="009E1E4F" w:rsidRPr="009E1E4F">
          <w:rPr>
            <w:rFonts w:ascii="Arial" w:hAnsi="Arial" w:cs="Arial"/>
            <w:webHidden/>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35" w:history="1">
        <w:r w:rsidR="009E1E4F" w:rsidRPr="009E1E4F">
          <w:rPr>
            <w:rStyle w:val="Hyperlink"/>
            <w:rFonts w:ascii="Arial" w:hAnsi="Arial" w:cs="Arial"/>
            <w:caps/>
            <w:color w:val="auto"/>
            <w:u w:val="none"/>
          </w:rPr>
          <w:t>2</w:t>
        </w:r>
        <w:r w:rsidR="009E1E4F" w:rsidRPr="009E1E4F">
          <w:rPr>
            <w:rStyle w:val="Hyperlink"/>
            <w:rFonts w:ascii="Arial" w:hAnsi="Arial" w:cs="Arial"/>
            <w:caps/>
            <w:color w:val="auto"/>
            <w:u w:val="none"/>
          </w:rPr>
          <w:tab/>
          <w:t>Estimate Reconciliation</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_Toc404336635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4</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36" w:history="1">
        <w:r w:rsidR="009E1E4F" w:rsidRPr="009E1E4F">
          <w:rPr>
            <w:rStyle w:val="Hyperlink"/>
            <w:rFonts w:ascii="Arial" w:hAnsi="Arial" w:cs="Arial"/>
            <w:color w:val="auto"/>
            <w:u w:val="none"/>
          </w:rPr>
          <w:t>2.1</w:t>
        </w:r>
        <w:r w:rsidR="009E1E4F" w:rsidRPr="009E1E4F">
          <w:rPr>
            <w:rStyle w:val="Hyperlink"/>
            <w:rFonts w:ascii="Arial" w:hAnsi="Arial" w:cs="Arial"/>
            <w:color w:val="auto"/>
            <w:u w:val="none"/>
          </w:rPr>
          <w:tab/>
          <w:t>Overview</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_Toc404336636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4</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37" w:history="1">
        <w:r w:rsidR="009E1E4F" w:rsidRPr="009E1E4F">
          <w:rPr>
            <w:rStyle w:val="Hyperlink"/>
            <w:rFonts w:ascii="Arial" w:hAnsi="Arial" w:cs="Arial"/>
            <w:color w:val="auto"/>
            <w:u w:val="none"/>
          </w:rPr>
          <w:t>2.2</w:t>
        </w:r>
        <w:r w:rsidR="009E1E4F" w:rsidRPr="009E1E4F">
          <w:rPr>
            <w:rStyle w:val="Hyperlink"/>
            <w:rFonts w:ascii="Arial" w:hAnsi="Arial" w:cs="Arial"/>
            <w:color w:val="auto"/>
            <w:u w:val="none"/>
          </w:rPr>
          <w:tab/>
          <w:t>Source Estimates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_Toc404336637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4</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38" w:history="1">
        <w:r w:rsidR="009E1E4F" w:rsidRPr="009E1E4F">
          <w:rPr>
            <w:rStyle w:val="Hyperlink"/>
            <w:rFonts w:ascii="Arial" w:hAnsi="Arial" w:cs="Arial"/>
            <w:color w:val="auto"/>
            <w:u w:val="none"/>
          </w:rPr>
          <w:t>2.3</w:t>
        </w:r>
        <w:r w:rsidR="009E1E4F" w:rsidRPr="009E1E4F">
          <w:rPr>
            <w:rStyle w:val="Hyperlink"/>
            <w:rFonts w:ascii="Arial" w:hAnsi="Arial" w:cs="Arial"/>
            <w:color w:val="auto"/>
            <w:u w:val="none"/>
          </w:rPr>
          <w:tab/>
          <w:t>Key Option 4 Tenets and Driving Project Criteria</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_Toc404336638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4</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39" w:history="1">
        <w:r w:rsidR="009E1E4F" w:rsidRPr="009E1E4F">
          <w:rPr>
            <w:rStyle w:val="Hyperlink"/>
            <w:rFonts w:ascii="Arial" w:hAnsi="Arial" w:cs="Arial"/>
            <w:color w:val="auto"/>
            <w:u w:val="none"/>
          </w:rPr>
          <w:t>2.3.1</w:t>
        </w:r>
        <w:r w:rsidR="009E1E4F" w:rsidRPr="009E1E4F">
          <w:rPr>
            <w:rStyle w:val="Hyperlink"/>
            <w:rFonts w:ascii="Arial" w:hAnsi="Arial" w:cs="Arial"/>
            <w:color w:val="auto"/>
            <w:u w:val="none"/>
          </w:rPr>
          <w:tab/>
          <w:t>AECOM</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_Toc404336639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0" w:history="1">
        <w:r w:rsidR="009E1E4F" w:rsidRPr="009E1E4F">
          <w:rPr>
            <w:rStyle w:val="Hyperlink"/>
            <w:rFonts w:ascii="Arial" w:hAnsi="Arial" w:cs="Arial"/>
            <w:color w:val="auto"/>
            <w:u w:val="none"/>
          </w:rPr>
          <w:t>2.3.2</w:t>
        </w:r>
        <w:r w:rsidR="009E1E4F" w:rsidRPr="009E1E4F">
          <w:rPr>
            <w:rStyle w:val="Hyperlink"/>
            <w:rFonts w:ascii="Arial" w:hAnsi="Arial" w:cs="Arial"/>
            <w:color w:val="auto"/>
            <w:u w:val="none"/>
          </w:rPr>
          <w:tab/>
          <w:t>AMEC</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_Toc404336640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1" w:history="1">
        <w:r w:rsidR="009E1E4F" w:rsidRPr="009E1E4F">
          <w:rPr>
            <w:rStyle w:val="Hyperlink"/>
            <w:rFonts w:ascii="Arial" w:hAnsi="Arial" w:cs="Arial"/>
            <w:color w:val="auto"/>
            <w:u w:val="none"/>
          </w:rPr>
          <w:t>2.3.3</w:t>
        </w:r>
        <w:r w:rsidR="009E1E4F" w:rsidRPr="009E1E4F">
          <w:rPr>
            <w:rStyle w:val="Hyperlink"/>
            <w:rFonts w:ascii="Arial" w:hAnsi="Arial" w:cs="Arial"/>
            <w:color w:val="auto"/>
            <w:u w:val="none"/>
          </w:rPr>
          <w:tab/>
          <w:t>Reconciliation Implications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_Toc404336641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7</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42" w:history="1">
        <w:r w:rsidR="009E1E4F" w:rsidRPr="009E1E4F">
          <w:rPr>
            <w:rStyle w:val="Hyperlink"/>
            <w:rFonts w:ascii="Arial" w:hAnsi="Arial" w:cs="Arial"/>
            <w:color w:val="auto"/>
            <w:u w:val="none"/>
          </w:rPr>
          <w:t>2.4</w:t>
        </w:r>
        <w:r w:rsidR="009E1E4F" w:rsidRPr="009E1E4F">
          <w:rPr>
            <w:rStyle w:val="Hyperlink"/>
            <w:rFonts w:ascii="Arial" w:hAnsi="Arial" w:cs="Arial"/>
            <w:color w:val="auto"/>
            <w:u w:val="none"/>
          </w:rPr>
          <w:tab/>
          <w:t>Reconciliation Formats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_Toc404336642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7</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3" w:history="1">
        <w:r w:rsidR="009E1E4F" w:rsidRPr="009E1E4F">
          <w:rPr>
            <w:rStyle w:val="Hyperlink"/>
            <w:rFonts w:ascii="Arial" w:hAnsi="Arial" w:cs="Arial"/>
            <w:color w:val="auto"/>
            <w:u w:val="none"/>
          </w:rPr>
          <w:t>2.4.1</w:t>
        </w:r>
        <w:r w:rsidR="009E1E4F" w:rsidRPr="009E1E4F">
          <w:rPr>
            <w:rStyle w:val="Hyperlink"/>
            <w:rFonts w:ascii="Arial" w:hAnsi="Arial" w:cs="Arial"/>
            <w:color w:val="auto"/>
            <w:u w:val="none"/>
          </w:rPr>
          <w:tab/>
          <w:t>Detailed Estimate Reconciliation</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_Toc404336643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7</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4" w:history="1">
        <w:r w:rsidR="009E1E4F" w:rsidRPr="009E1E4F">
          <w:rPr>
            <w:rStyle w:val="Hyperlink"/>
            <w:rFonts w:ascii="Arial" w:hAnsi="Arial" w:cs="Arial"/>
            <w:color w:val="auto"/>
            <w:u w:val="none"/>
          </w:rPr>
          <w:t>2.4.2</w:t>
        </w:r>
        <w:r w:rsidR="009E1E4F" w:rsidRPr="009E1E4F">
          <w:rPr>
            <w:rStyle w:val="Hyperlink"/>
            <w:rFonts w:ascii="Arial" w:hAnsi="Arial" w:cs="Arial"/>
            <w:color w:val="auto"/>
            <w:u w:val="none"/>
          </w:rPr>
          <w:tab/>
          <w:t>Detailed Quantity Reconciliation</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_Toc404336644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9</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45" w:history="1">
        <w:r w:rsidR="009E1E4F" w:rsidRPr="009E1E4F">
          <w:rPr>
            <w:rStyle w:val="Hyperlink"/>
            <w:rFonts w:ascii="Arial" w:hAnsi="Arial" w:cs="Arial"/>
            <w:color w:val="auto"/>
            <w:u w:val="none"/>
          </w:rPr>
          <w:t>2.5</w:t>
        </w:r>
        <w:r w:rsidR="009E1E4F" w:rsidRPr="009E1E4F">
          <w:rPr>
            <w:rStyle w:val="Hyperlink"/>
            <w:rFonts w:ascii="Arial" w:hAnsi="Arial" w:cs="Arial"/>
            <w:color w:val="auto"/>
            <w:u w:val="none"/>
          </w:rPr>
          <w:tab/>
          <w:t>Reconciliation Findings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_Toc404336645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9</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6" w:history="1">
        <w:r w:rsidR="009E1E4F" w:rsidRPr="009E1E4F">
          <w:rPr>
            <w:rStyle w:val="Hyperlink"/>
            <w:rFonts w:ascii="Arial" w:hAnsi="Arial" w:cs="Arial"/>
            <w:color w:val="auto"/>
            <w:u w:val="none"/>
          </w:rPr>
          <w:t>2.5.1</w:t>
        </w:r>
        <w:r w:rsidR="009E1E4F" w:rsidRPr="009E1E4F">
          <w:rPr>
            <w:rStyle w:val="Hyperlink"/>
            <w:rFonts w:ascii="Arial" w:hAnsi="Arial" w:cs="Arial"/>
            <w:color w:val="auto"/>
            <w:u w:val="none"/>
          </w:rPr>
          <w:tab/>
          <w:t>Estimate Objectives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_Toc404336646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9</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7" w:history="1">
        <w:r w:rsidR="009E1E4F" w:rsidRPr="009E1E4F">
          <w:rPr>
            <w:rStyle w:val="Hyperlink"/>
            <w:rFonts w:ascii="Arial" w:hAnsi="Arial" w:cs="Arial"/>
            <w:color w:val="auto"/>
            <w:u w:val="none"/>
          </w:rPr>
          <w:t>2.5.2</w:t>
        </w:r>
        <w:r w:rsidR="009E1E4F" w:rsidRPr="009E1E4F">
          <w:rPr>
            <w:rStyle w:val="Hyperlink"/>
            <w:rFonts w:ascii="Arial" w:hAnsi="Arial" w:cs="Arial"/>
            <w:color w:val="auto"/>
            <w:u w:val="none"/>
          </w:rPr>
          <w:tab/>
          <w:t>Detailed Estimate Reconciliation</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_Toc404336647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11</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8" w:history="1">
        <w:r w:rsidR="009E1E4F" w:rsidRPr="009E1E4F">
          <w:rPr>
            <w:rStyle w:val="Hyperlink"/>
            <w:rFonts w:ascii="Arial" w:hAnsi="Arial" w:cs="Arial"/>
            <w:color w:val="auto"/>
            <w:u w:val="none"/>
          </w:rPr>
          <w:t>2.5.3</w:t>
        </w:r>
        <w:r w:rsidR="009E1E4F" w:rsidRPr="009E1E4F">
          <w:rPr>
            <w:rStyle w:val="Hyperlink"/>
            <w:rFonts w:ascii="Arial" w:hAnsi="Arial" w:cs="Arial"/>
            <w:color w:val="auto"/>
            <w:u w:val="none"/>
          </w:rPr>
          <w:tab/>
          <w:t>Detailed Quantity Reconciliation</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_Toc404336648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13</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49" w:history="1">
        <w:r w:rsidR="009E1E4F" w:rsidRPr="009E1E4F">
          <w:rPr>
            <w:rStyle w:val="Hyperlink"/>
            <w:rFonts w:ascii="Arial" w:hAnsi="Arial" w:cs="Arial"/>
            <w:color w:val="auto"/>
            <w:u w:val="none"/>
          </w:rPr>
          <w:t>2.5.4</w:t>
        </w:r>
        <w:r w:rsidR="009E1E4F" w:rsidRPr="009E1E4F">
          <w:rPr>
            <w:rStyle w:val="Hyperlink"/>
            <w:rFonts w:ascii="Arial" w:hAnsi="Arial" w:cs="Arial"/>
            <w:color w:val="auto"/>
            <w:u w:val="none"/>
          </w:rPr>
          <w:tab/>
          <w:t>Summary Comments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_Toc404336649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13</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50" w:history="1">
        <w:r w:rsidR="009E1E4F" w:rsidRPr="009E1E4F">
          <w:rPr>
            <w:rStyle w:val="Hyperlink"/>
            <w:rFonts w:ascii="Arial" w:hAnsi="Arial" w:cs="Arial"/>
            <w:caps/>
            <w:color w:val="auto"/>
            <w:u w:val="none"/>
          </w:rPr>
          <w:t>3</w:t>
        </w:r>
        <w:r w:rsidR="009E1E4F" w:rsidRPr="009E1E4F">
          <w:rPr>
            <w:rStyle w:val="Hyperlink"/>
            <w:rFonts w:ascii="Arial" w:hAnsi="Arial" w:cs="Arial"/>
            <w:caps/>
            <w:color w:val="auto"/>
            <w:u w:val="none"/>
          </w:rPr>
          <w:tab/>
          <w:t>Estimate Assumptions</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_Toc404336650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15</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51" w:history="1">
        <w:r w:rsidR="009E1E4F" w:rsidRPr="009E1E4F">
          <w:rPr>
            <w:rStyle w:val="Hyperlink"/>
            <w:rFonts w:ascii="Arial" w:hAnsi="Arial" w:cs="Arial"/>
            <w:color w:val="auto"/>
            <w:u w:val="none"/>
          </w:rPr>
          <w:t>3.1</w:t>
        </w:r>
        <w:r w:rsidR="009E1E4F" w:rsidRPr="009E1E4F">
          <w:rPr>
            <w:rStyle w:val="Hyperlink"/>
            <w:rFonts w:ascii="Arial" w:hAnsi="Arial" w:cs="Arial"/>
            <w:color w:val="auto"/>
            <w:u w:val="none"/>
          </w:rPr>
          <w:tab/>
          <w:t>Review Scope and Objectives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_Toc404336651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15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52" w:history="1">
        <w:r w:rsidR="009E1E4F" w:rsidRPr="009E1E4F">
          <w:rPr>
            <w:rStyle w:val="Hyperlink"/>
            <w:rFonts w:ascii="Arial" w:hAnsi="Arial" w:cs="Arial"/>
            <w:color w:val="auto"/>
            <w:u w:val="none"/>
          </w:rPr>
          <w:t>3.2</w:t>
        </w:r>
        <w:r w:rsidR="009E1E4F" w:rsidRPr="009E1E4F">
          <w:rPr>
            <w:rStyle w:val="Hyperlink"/>
            <w:rFonts w:ascii="Arial" w:hAnsi="Arial" w:cs="Arial"/>
            <w:color w:val="auto"/>
            <w:u w:val="none"/>
          </w:rPr>
          <w:tab/>
          <w:t>Key Scope Areas and Alternate Assumptions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_Toc404336652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15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53" w:history="1">
        <w:r w:rsidR="009E1E4F" w:rsidRPr="009E1E4F">
          <w:rPr>
            <w:rStyle w:val="Hyperlink"/>
            <w:rFonts w:ascii="Arial" w:hAnsi="Arial" w:cs="Arial"/>
            <w:color w:val="auto"/>
            <w:u w:val="none"/>
          </w:rPr>
          <w:t>3.3</w:t>
        </w:r>
        <w:r w:rsidR="009E1E4F" w:rsidRPr="009E1E4F">
          <w:rPr>
            <w:rStyle w:val="Hyperlink"/>
            <w:rFonts w:ascii="Arial" w:hAnsi="Arial" w:cs="Arial"/>
            <w:color w:val="auto"/>
            <w:u w:val="none"/>
          </w:rPr>
          <w:tab/>
          <w:t>Review Limitations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_Toc404336653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15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54" w:history="1">
        <w:r w:rsidR="009E1E4F" w:rsidRPr="009E1E4F">
          <w:rPr>
            <w:rStyle w:val="Hyperlink"/>
            <w:rFonts w:ascii="Arial" w:hAnsi="Arial" w:cs="Arial"/>
            <w:caps/>
            <w:color w:val="auto"/>
            <w:u w:val="none"/>
          </w:rPr>
          <w:t>4</w:t>
        </w:r>
        <w:r w:rsidR="009E1E4F" w:rsidRPr="009E1E4F">
          <w:rPr>
            <w:rStyle w:val="Hyperlink"/>
            <w:rFonts w:ascii="Arial" w:hAnsi="Arial" w:cs="Arial"/>
            <w:caps/>
            <w:color w:val="auto"/>
            <w:u w:val="none"/>
          </w:rPr>
          <w:tab/>
          <w:t>Sensitivity Assessment</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_Toc404336654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21</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55" w:history="1">
        <w:r w:rsidR="009E1E4F" w:rsidRPr="009E1E4F">
          <w:rPr>
            <w:rStyle w:val="Hyperlink"/>
            <w:rFonts w:ascii="Arial" w:hAnsi="Arial" w:cs="Arial"/>
            <w:color w:val="auto"/>
            <w:u w:val="none"/>
          </w:rPr>
          <w:t>4.1</w:t>
        </w:r>
        <w:r w:rsidR="009E1E4F" w:rsidRPr="009E1E4F">
          <w:rPr>
            <w:rStyle w:val="Hyperlink"/>
            <w:rFonts w:ascii="Arial" w:hAnsi="Arial" w:cs="Arial"/>
            <w:color w:val="auto"/>
            <w:u w:val="none"/>
          </w:rPr>
          <w:tab/>
          <w:t>Format</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_Toc404336655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21</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56" w:history="1">
        <w:r w:rsidR="009E1E4F" w:rsidRPr="009E1E4F">
          <w:rPr>
            <w:rStyle w:val="Hyperlink"/>
            <w:rFonts w:ascii="Arial" w:hAnsi="Arial" w:cs="Arial"/>
            <w:color w:val="auto"/>
            <w:u w:val="none"/>
          </w:rPr>
          <w:t>4.2</w:t>
        </w:r>
        <w:r w:rsidR="009E1E4F" w:rsidRPr="009E1E4F">
          <w:rPr>
            <w:rStyle w:val="Hyperlink"/>
            <w:rFonts w:ascii="Arial" w:hAnsi="Arial" w:cs="Arial"/>
            <w:color w:val="auto"/>
            <w:u w:val="none"/>
          </w:rPr>
          <w:tab/>
          <w:t>Assessment Outcomes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_Toc404336656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26</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57" w:history="1">
        <w:r w:rsidR="009E1E4F" w:rsidRPr="009E1E4F">
          <w:rPr>
            <w:rStyle w:val="Hyperlink"/>
            <w:rFonts w:ascii="Arial" w:hAnsi="Arial" w:cs="Arial"/>
            <w:color w:val="auto"/>
            <w:u w:val="none"/>
          </w:rPr>
          <w:t>4.2.1</w:t>
        </w:r>
        <w:r w:rsidR="009E1E4F" w:rsidRPr="009E1E4F">
          <w:rPr>
            <w:rStyle w:val="Hyperlink"/>
            <w:rFonts w:ascii="Arial" w:hAnsi="Arial" w:cs="Arial"/>
            <w:color w:val="auto"/>
            <w:u w:val="none"/>
          </w:rPr>
          <w:tab/>
          <w:t>Lower Bound Estimate</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_Toc404336657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26</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58" w:history="1">
        <w:r w:rsidR="009E1E4F" w:rsidRPr="009E1E4F">
          <w:rPr>
            <w:rStyle w:val="Hyperlink"/>
            <w:rFonts w:ascii="Arial" w:hAnsi="Arial" w:cs="Arial"/>
            <w:color w:val="auto"/>
            <w:u w:val="none"/>
          </w:rPr>
          <w:t>4.2.2</w:t>
        </w:r>
        <w:r w:rsidR="009E1E4F" w:rsidRPr="009E1E4F">
          <w:rPr>
            <w:rStyle w:val="Hyperlink"/>
            <w:rFonts w:ascii="Arial" w:hAnsi="Arial" w:cs="Arial"/>
            <w:color w:val="auto"/>
            <w:u w:val="none"/>
          </w:rPr>
          <w:tab/>
          <w:t>Upper Bound Estimate</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_Toc404336658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30</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59" w:history="1">
        <w:r w:rsidR="009E1E4F" w:rsidRPr="009E1E4F">
          <w:rPr>
            <w:rStyle w:val="Hyperlink"/>
            <w:rFonts w:ascii="Arial" w:hAnsi="Arial" w:cs="Arial"/>
            <w:color w:val="auto"/>
            <w:u w:val="none"/>
          </w:rPr>
          <w:t>4.3</w:t>
        </w:r>
        <w:r w:rsidR="009E1E4F" w:rsidRPr="009E1E4F">
          <w:rPr>
            <w:rStyle w:val="Hyperlink"/>
            <w:rFonts w:ascii="Arial" w:hAnsi="Arial" w:cs="Arial"/>
            <w:color w:val="auto"/>
            <w:u w:val="none"/>
          </w:rPr>
          <w:tab/>
          <w:t>Balancing Cost, Uncertainty and Risk</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_Toc404336659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30</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60" w:history="1">
        <w:r w:rsidR="009E1E4F" w:rsidRPr="009E1E4F">
          <w:rPr>
            <w:rStyle w:val="Hyperlink"/>
            <w:rFonts w:ascii="Arial" w:hAnsi="Arial" w:cs="Arial"/>
            <w:caps/>
            <w:color w:val="auto"/>
            <w:u w:val="none"/>
          </w:rPr>
          <w:t>5</w:t>
        </w:r>
        <w:r w:rsidR="009E1E4F" w:rsidRPr="009E1E4F">
          <w:rPr>
            <w:rStyle w:val="Hyperlink"/>
            <w:rFonts w:ascii="Arial" w:hAnsi="Arial" w:cs="Arial"/>
            <w:caps/>
            <w:color w:val="auto"/>
            <w:u w:val="none"/>
          </w:rPr>
          <w:tab/>
          <w:t>Cost Reduction Opportunities</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_Toc404336660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32</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61" w:history="1">
        <w:r w:rsidR="009E1E4F" w:rsidRPr="009E1E4F">
          <w:rPr>
            <w:rStyle w:val="Hyperlink"/>
            <w:rFonts w:ascii="Arial" w:hAnsi="Arial" w:cs="Arial"/>
            <w:color w:val="auto"/>
            <w:u w:val="none"/>
          </w:rPr>
          <w:t>5.1</w:t>
        </w:r>
        <w:r w:rsidR="009E1E4F" w:rsidRPr="009E1E4F">
          <w:rPr>
            <w:rStyle w:val="Hyperlink"/>
            <w:rFonts w:ascii="Arial" w:hAnsi="Arial" w:cs="Arial"/>
            <w:color w:val="auto"/>
            <w:u w:val="none"/>
          </w:rPr>
          <w:tab/>
          <w:t>Reducing Uncertainty</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_Toc404336661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32</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62" w:history="1">
        <w:r w:rsidR="009E1E4F" w:rsidRPr="009E1E4F">
          <w:rPr>
            <w:rStyle w:val="Hyperlink"/>
            <w:rFonts w:ascii="Arial" w:hAnsi="Arial" w:cs="Arial"/>
            <w:color w:val="auto"/>
            <w:u w:val="none"/>
          </w:rPr>
          <w:t>5.1.1</w:t>
        </w:r>
        <w:r w:rsidR="009E1E4F" w:rsidRPr="009E1E4F">
          <w:rPr>
            <w:rStyle w:val="Hyperlink"/>
            <w:rFonts w:ascii="Arial" w:hAnsi="Arial" w:cs="Arial"/>
            <w:color w:val="auto"/>
            <w:u w:val="none"/>
          </w:rPr>
          <w:tab/>
          <w:t>Design Development</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_Toc404336662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32</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63" w:history="1">
        <w:r w:rsidR="009E1E4F" w:rsidRPr="009E1E4F">
          <w:rPr>
            <w:rStyle w:val="Hyperlink"/>
            <w:rFonts w:ascii="Arial" w:hAnsi="Arial" w:cs="Arial"/>
            <w:color w:val="auto"/>
            <w:u w:val="none"/>
          </w:rPr>
          <w:t>5.1.2</w:t>
        </w:r>
        <w:r w:rsidR="009E1E4F" w:rsidRPr="009E1E4F">
          <w:rPr>
            <w:rStyle w:val="Hyperlink"/>
            <w:rFonts w:ascii="Arial" w:hAnsi="Arial" w:cs="Arial"/>
            <w:color w:val="auto"/>
            <w:u w:val="none"/>
          </w:rPr>
          <w:tab/>
          <w:t>Contractor Engagement</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_Toc404336663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32</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64" w:history="1">
        <w:r w:rsidR="009E1E4F" w:rsidRPr="009E1E4F">
          <w:rPr>
            <w:rStyle w:val="Hyperlink"/>
            <w:rFonts w:ascii="Arial" w:hAnsi="Arial" w:cs="Arial"/>
            <w:color w:val="auto"/>
            <w:u w:val="none"/>
          </w:rPr>
          <w:t>5.2</w:t>
        </w:r>
        <w:r w:rsidR="009E1E4F" w:rsidRPr="009E1E4F">
          <w:rPr>
            <w:rStyle w:val="Hyperlink"/>
            <w:rFonts w:ascii="Arial" w:hAnsi="Arial" w:cs="Arial"/>
            <w:color w:val="auto"/>
            <w:u w:val="none"/>
          </w:rPr>
          <w:tab/>
          <w:t>Scope Revisions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_Toc404336664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65" w:history="1">
        <w:r w:rsidR="009E1E4F" w:rsidRPr="009E1E4F">
          <w:rPr>
            <w:rStyle w:val="Hyperlink"/>
            <w:rFonts w:ascii="Arial" w:hAnsi="Arial" w:cs="Arial"/>
            <w:color w:val="auto"/>
            <w:u w:val="none"/>
          </w:rPr>
          <w:t>5.2.1</w:t>
        </w:r>
        <w:r w:rsidR="009E1E4F" w:rsidRPr="009E1E4F">
          <w:rPr>
            <w:rStyle w:val="Hyperlink"/>
            <w:rFonts w:ascii="Arial" w:hAnsi="Arial" w:cs="Arial"/>
            <w:color w:val="auto"/>
            <w:u w:val="none"/>
          </w:rPr>
          <w:tab/>
          <w:t>Within the Option 4 Concept</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_Toc404336665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66" w:history="1">
        <w:r w:rsidR="009E1E4F" w:rsidRPr="009E1E4F">
          <w:rPr>
            <w:rStyle w:val="Hyperlink"/>
            <w:rFonts w:ascii="Arial" w:hAnsi="Arial" w:cs="Arial"/>
            <w:color w:val="auto"/>
            <w:u w:val="none"/>
          </w:rPr>
          <w:t>5.2.2</w:t>
        </w:r>
        <w:r w:rsidR="009E1E4F" w:rsidRPr="009E1E4F">
          <w:rPr>
            <w:rStyle w:val="Hyperlink"/>
            <w:rFonts w:ascii="Arial" w:hAnsi="Arial" w:cs="Arial"/>
            <w:color w:val="auto"/>
            <w:u w:val="none"/>
          </w:rPr>
          <w:tab/>
          <w:t>Outside of the Option 4 Concept</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_Toc404336666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67" w:history="1">
        <w:r w:rsidR="009E1E4F" w:rsidRPr="009E1E4F">
          <w:rPr>
            <w:rStyle w:val="Hyperlink"/>
            <w:rFonts w:ascii="Arial" w:hAnsi="Arial" w:cs="Arial"/>
            <w:color w:val="auto"/>
            <w:u w:val="none"/>
          </w:rPr>
          <w:t>5.3</w:t>
        </w:r>
        <w:r w:rsidR="009E1E4F" w:rsidRPr="009E1E4F">
          <w:rPr>
            <w:rStyle w:val="Hyperlink"/>
            <w:rFonts w:ascii="Arial" w:hAnsi="Arial" w:cs="Arial"/>
            <w:color w:val="auto"/>
            <w:u w:val="none"/>
          </w:rPr>
          <w:tab/>
          <w:t>Value Engineering</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_Toc404336667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35</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68" w:history="1">
        <w:r w:rsidR="009E1E4F" w:rsidRPr="009E1E4F">
          <w:rPr>
            <w:rStyle w:val="Hyperlink"/>
            <w:rFonts w:ascii="Arial" w:hAnsi="Arial" w:cs="Arial"/>
            <w:color w:val="auto"/>
            <w:u w:val="none"/>
          </w:rPr>
          <w:t>5.3.1</w:t>
        </w:r>
        <w:r w:rsidR="009E1E4F" w:rsidRPr="009E1E4F">
          <w:rPr>
            <w:rStyle w:val="Hyperlink"/>
            <w:rFonts w:ascii="Arial" w:hAnsi="Arial" w:cs="Arial"/>
            <w:color w:val="auto"/>
            <w:u w:val="none"/>
          </w:rPr>
          <w:tab/>
          <w:t>Overview</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_Toc404336668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36</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69" w:history="1">
        <w:r w:rsidR="009E1E4F" w:rsidRPr="009E1E4F">
          <w:rPr>
            <w:rStyle w:val="Hyperlink"/>
            <w:rFonts w:ascii="Arial" w:hAnsi="Arial" w:cs="Arial"/>
            <w:color w:val="auto"/>
            <w:u w:val="none"/>
          </w:rPr>
          <w:t>5.3.2</w:t>
        </w:r>
        <w:r w:rsidR="009E1E4F" w:rsidRPr="009E1E4F">
          <w:rPr>
            <w:rStyle w:val="Hyperlink"/>
            <w:rFonts w:ascii="Arial" w:hAnsi="Arial" w:cs="Arial"/>
            <w:color w:val="auto"/>
            <w:u w:val="none"/>
          </w:rPr>
          <w:tab/>
          <w:t>VE Process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_Toc404336669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36</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3"/>
        <w:tabs>
          <w:tab w:val="clear" w:pos="1080"/>
          <w:tab w:val="clear" w:pos="1800"/>
          <w:tab w:val="left" w:pos="2160"/>
        </w:tabs>
        <w:ind w:left="1440"/>
        <w:rPr>
          <w:rStyle w:val="Hyperlink"/>
          <w:rFonts w:ascii="Arial" w:hAnsi="Arial" w:cs="Arial"/>
          <w:color w:val="auto"/>
          <w:u w:val="none"/>
        </w:rPr>
      </w:pPr>
      <w:hyperlink w:anchor="_Toc404336670" w:history="1">
        <w:r w:rsidR="009E1E4F" w:rsidRPr="009E1E4F">
          <w:rPr>
            <w:rStyle w:val="Hyperlink"/>
            <w:rFonts w:ascii="Arial" w:hAnsi="Arial" w:cs="Arial"/>
            <w:color w:val="auto"/>
            <w:u w:val="none"/>
          </w:rPr>
          <w:t>5.3.3</w:t>
        </w:r>
        <w:r w:rsidR="009E1E4F" w:rsidRPr="009E1E4F">
          <w:rPr>
            <w:rStyle w:val="Hyperlink"/>
            <w:rFonts w:ascii="Arial" w:hAnsi="Arial" w:cs="Arial"/>
            <w:color w:val="auto"/>
            <w:u w:val="none"/>
          </w:rPr>
          <w:tab/>
          <w:t>VE Team</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_Toc404336670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36</w:t>
        </w:r>
        <w:r w:rsidR="009E1E4F" w:rsidRPr="009E1E4F">
          <w:rPr>
            <w:rStyle w:val="Hyperlink"/>
            <w:rFonts w:ascii="Arial" w:hAnsi="Arial" w:cs="Arial"/>
            <w:webHidden/>
            <w:color w:val="auto"/>
            <w:u w:val="none"/>
          </w:rPr>
          <w:fldChar w:fldCharType="end"/>
        </w:r>
      </w:hyperlink>
    </w:p>
    <w:p w:rsidR="009E1E4F" w:rsidRDefault="009E1E4F">
      <w:pPr>
        <w:jc w:val="left"/>
        <w:rPr>
          <w:rStyle w:val="Hyperlink"/>
          <w:rFonts w:ascii="Arial" w:hAnsi="Arial" w:cs="Arial"/>
          <w:caps/>
          <w:noProof/>
          <w:color w:val="auto"/>
          <w:u w:val="none"/>
        </w:rPr>
      </w:pPr>
      <w:r>
        <w:rPr>
          <w:rStyle w:val="Hyperlink"/>
          <w:rFonts w:ascii="Arial" w:hAnsi="Arial" w:cs="Arial"/>
          <w:caps/>
          <w:noProof/>
          <w:color w:val="auto"/>
          <w:u w:val="none"/>
        </w:rPr>
        <w:br w:type="page"/>
      </w:r>
    </w:p>
    <w:p w:rsidR="009E1E4F" w:rsidRPr="00BA4F53" w:rsidRDefault="009E1E4F" w:rsidP="009E1E4F">
      <w:pPr>
        <w:pStyle w:val="TableofContents"/>
        <w:spacing w:after="120"/>
        <w:rPr>
          <w:rFonts w:ascii="Arial" w:hAnsi="Arial" w:cs="Arial"/>
          <w:noProof/>
          <w:szCs w:val="22"/>
        </w:rPr>
      </w:pPr>
      <w:r w:rsidRPr="00BA4F53">
        <w:rPr>
          <w:rFonts w:ascii="Arial" w:hAnsi="Arial" w:cs="Arial"/>
          <w:noProof/>
          <w:szCs w:val="22"/>
        </w:rPr>
        <w:lastRenderedPageBreak/>
        <w:t>TABLE OF CONTENTS</w:t>
      </w:r>
      <w:r>
        <w:rPr>
          <w:rFonts w:ascii="Arial" w:hAnsi="Arial" w:cs="Arial"/>
          <w:noProof/>
          <w:szCs w:val="22"/>
        </w:rPr>
        <w:t xml:space="preserve"> (</w:t>
      </w:r>
      <w:r w:rsidRPr="009E1E4F">
        <w:rPr>
          <w:rFonts w:ascii="Arial Bold" w:hAnsi="Arial Bold" w:cs="Arial"/>
          <w:caps w:val="0"/>
          <w:noProof/>
          <w:szCs w:val="22"/>
        </w:rPr>
        <w:t>cont'd</w:t>
      </w:r>
      <w:r>
        <w:rPr>
          <w:rFonts w:ascii="Arial" w:hAnsi="Arial" w:cs="Arial"/>
          <w:noProof/>
          <w:szCs w:val="22"/>
        </w:rPr>
        <w:t>)</w:t>
      </w:r>
    </w:p>
    <w:p w:rsidR="009E1E4F" w:rsidRPr="00BA4F53" w:rsidRDefault="009E1E4F" w:rsidP="009E1E4F">
      <w:pPr>
        <w:spacing w:after="120"/>
        <w:jc w:val="right"/>
        <w:rPr>
          <w:rFonts w:ascii="Arial" w:hAnsi="Arial" w:cs="Arial"/>
          <w:b/>
          <w:noProof/>
          <w:szCs w:val="22"/>
        </w:rPr>
      </w:pPr>
      <w:r w:rsidRPr="00BA4F53">
        <w:rPr>
          <w:rFonts w:ascii="Arial" w:hAnsi="Arial" w:cs="Arial"/>
          <w:b/>
          <w:noProof/>
          <w:szCs w:val="22"/>
        </w:rPr>
        <w:t>Page</w:t>
      </w:r>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71" w:history="1">
        <w:r w:rsidR="009E1E4F" w:rsidRPr="009E1E4F">
          <w:rPr>
            <w:rStyle w:val="Hyperlink"/>
            <w:rFonts w:ascii="Arial" w:hAnsi="Arial" w:cs="Arial"/>
            <w:caps/>
            <w:color w:val="auto"/>
            <w:u w:val="none"/>
          </w:rPr>
          <w:t>6</w:t>
        </w:r>
        <w:r w:rsidR="009E1E4F" w:rsidRPr="009E1E4F">
          <w:rPr>
            <w:rStyle w:val="Hyperlink"/>
            <w:rFonts w:ascii="Arial" w:hAnsi="Arial" w:cs="Arial"/>
            <w:caps/>
            <w:color w:val="auto"/>
            <w:u w:val="none"/>
          </w:rPr>
          <w:tab/>
          <w:t>Cost Review Workshop</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_Toc404336671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38</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72" w:history="1">
        <w:r w:rsidR="009E1E4F" w:rsidRPr="009E1E4F">
          <w:rPr>
            <w:rStyle w:val="Hyperlink"/>
            <w:rFonts w:ascii="Arial" w:hAnsi="Arial" w:cs="Arial"/>
            <w:color w:val="auto"/>
            <w:u w:val="none"/>
          </w:rPr>
          <w:t>6.1</w:t>
        </w:r>
        <w:r w:rsidR="009E1E4F" w:rsidRPr="009E1E4F">
          <w:rPr>
            <w:rStyle w:val="Hyperlink"/>
            <w:rFonts w:ascii="Arial" w:hAnsi="Arial" w:cs="Arial"/>
            <w:color w:val="auto"/>
            <w:u w:val="none"/>
          </w:rPr>
          <w:tab/>
          <w:t>Purpose and Agenda</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_Toc404336672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38</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73" w:history="1">
        <w:r w:rsidR="009E1E4F" w:rsidRPr="009E1E4F">
          <w:rPr>
            <w:rStyle w:val="Hyperlink"/>
            <w:rFonts w:ascii="Arial" w:hAnsi="Arial" w:cs="Arial"/>
            <w:color w:val="auto"/>
            <w:u w:val="none"/>
          </w:rPr>
          <w:t>6.2</w:t>
        </w:r>
        <w:r w:rsidR="009E1E4F" w:rsidRPr="009E1E4F">
          <w:rPr>
            <w:rStyle w:val="Hyperlink"/>
            <w:rFonts w:ascii="Arial" w:hAnsi="Arial" w:cs="Arial"/>
            <w:color w:val="auto"/>
            <w:u w:val="none"/>
          </w:rPr>
          <w:tab/>
          <w:t>Outcomes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_Toc404336673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38</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74" w:history="1">
        <w:r w:rsidR="009E1E4F" w:rsidRPr="009E1E4F">
          <w:rPr>
            <w:rStyle w:val="Hyperlink"/>
            <w:rFonts w:ascii="Arial" w:hAnsi="Arial" w:cs="Arial"/>
            <w:caps/>
            <w:color w:val="auto"/>
            <w:u w:val="none"/>
          </w:rPr>
          <w:t>7</w:t>
        </w:r>
        <w:r w:rsidR="009E1E4F" w:rsidRPr="009E1E4F">
          <w:rPr>
            <w:rStyle w:val="Hyperlink"/>
            <w:rFonts w:ascii="Arial" w:hAnsi="Arial" w:cs="Arial"/>
            <w:caps/>
            <w:color w:val="auto"/>
            <w:u w:val="none"/>
          </w:rPr>
          <w:tab/>
          <w:t>Summary and Conclusions</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_Toc404336674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39</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75" w:history="1">
        <w:r w:rsidR="009E1E4F" w:rsidRPr="009E1E4F">
          <w:rPr>
            <w:rStyle w:val="Hyperlink"/>
            <w:rFonts w:ascii="Arial" w:hAnsi="Arial" w:cs="Arial"/>
            <w:color w:val="auto"/>
            <w:u w:val="none"/>
          </w:rPr>
          <w:t>7.1</w:t>
        </w:r>
        <w:r w:rsidR="009E1E4F" w:rsidRPr="009E1E4F">
          <w:rPr>
            <w:rStyle w:val="Hyperlink"/>
            <w:rFonts w:ascii="Arial" w:hAnsi="Arial" w:cs="Arial"/>
            <w:color w:val="auto"/>
            <w:u w:val="none"/>
          </w:rPr>
          <w:tab/>
          <w:t>Cost Reconciliation</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_Toc404336675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39</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76" w:history="1">
        <w:r w:rsidR="009E1E4F" w:rsidRPr="009E1E4F">
          <w:rPr>
            <w:rStyle w:val="Hyperlink"/>
            <w:rFonts w:ascii="Arial" w:hAnsi="Arial" w:cs="Arial"/>
            <w:color w:val="auto"/>
            <w:u w:val="none"/>
          </w:rPr>
          <w:t>7.2</w:t>
        </w:r>
        <w:r w:rsidR="009E1E4F" w:rsidRPr="009E1E4F">
          <w:rPr>
            <w:rStyle w:val="Hyperlink"/>
            <w:rFonts w:ascii="Arial" w:hAnsi="Arial" w:cs="Arial"/>
            <w:color w:val="auto"/>
            <w:u w:val="none"/>
          </w:rPr>
          <w:tab/>
          <w:t>Cost Assumptions Review and Sensitivity Assessment</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_Toc404336676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40</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2"/>
        <w:tabs>
          <w:tab w:val="clear" w:pos="1080"/>
          <w:tab w:val="left" w:pos="1440"/>
        </w:tabs>
        <w:ind w:left="720"/>
        <w:rPr>
          <w:rStyle w:val="Hyperlink"/>
          <w:rFonts w:ascii="Arial" w:hAnsi="Arial" w:cs="Arial"/>
          <w:color w:val="auto"/>
          <w:u w:val="none"/>
        </w:rPr>
      </w:pPr>
      <w:hyperlink w:anchor="_Toc404336677" w:history="1">
        <w:r w:rsidR="009E1E4F" w:rsidRPr="009E1E4F">
          <w:rPr>
            <w:rStyle w:val="Hyperlink"/>
            <w:rFonts w:ascii="Arial" w:hAnsi="Arial" w:cs="Arial"/>
            <w:color w:val="auto"/>
            <w:u w:val="none"/>
          </w:rPr>
          <w:t>7.3</w:t>
        </w:r>
        <w:r w:rsidR="009E1E4F" w:rsidRPr="009E1E4F">
          <w:rPr>
            <w:rStyle w:val="Hyperlink"/>
            <w:rFonts w:ascii="Arial" w:hAnsi="Arial" w:cs="Arial"/>
            <w:color w:val="auto"/>
            <w:u w:val="none"/>
          </w:rPr>
          <w:tab/>
          <w:t>Cost Reduction Opportunities</w:t>
        </w:r>
        <w:r w:rsidR="009E1E4F" w:rsidRPr="009E1E4F">
          <w:rPr>
            <w:rStyle w:val="Hyperlink"/>
            <w:rFonts w:ascii="Arial" w:hAnsi="Arial" w:cs="Arial"/>
            <w:webHidden/>
            <w:color w:val="auto"/>
            <w:u w:val="none"/>
          </w:rPr>
          <w:tab/>
        </w:r>
        <w:r w:rsidR="009E1E4F" w:rsidRPr="009E1E4F">
          <w:rPr>
            <w:rStyle w:val="Hyperlink"/>
            <w:rFonts w:ascii="Arial" w:hAnsi="Arial" w:cs="Arial"/>
            <w:webHidden/>
            <w:color w:val="auto"/>
            <w:u w:val="none"/>
          </w:rPr>
          <w:fldChar w:fldCharType="begin"/>
        </w:r>
        <w:r w:rsidR="009E1E4F" w:rsidRPr="009E1E4F">
          <w:rPr>
            <w:rStyle w:val="Hyperlink"/>
            <w:rFonts w:ascii="Arial" w:hAnsi="Arial" w:cs="Arial"/>
            <w:webHidden/>
            <w:color w:val="auto"/>
            <w:u w:val="none"/>
          </w:rPr>
          <w:instrText xml:space="preserve"> PAGEREF _Toc404336677 \h </w:instrText>
        </w:r>
        <w:r w:rsidR="009E1E4F" w:rsidRPr="009E1E4F">
          <w:rPr>
            <w:rStyle w:val="Hyperlink"/>
            <w:rFonts w:ascii="Arial" w:hAnsi="Arial" w:cs="Arial"/>
            <w:webHidden/>
            <w:color w:val="auto"/>
            <w:u w:val="none"/>
          </w:rPr>
        </w:r>
        <w:r w:rsidR="009E1E4F" w:rsidRPr="009E1E4F">
          <w:rPr>
            <w:rStyle w:val="Hyperlink"/>
            <w:rFonts w:ascii="Arial" w:hAnsi="Arial" w:cs="Arial"/>
            <w:webHidden/>
            <w:color w:val="auto"/>
            <w:u w:val="none"/>
          </w:rPr>
          <w:fldChar w:fldCharType="separate"/>
        </w:r>
        <w:r w:rsidR="005C7D57">
          <w:rPr>
            <w:rStyle w:val="Hyperlink"/>
            <w:rFonts w:ascii="Arial" w:hAnsi="Arial" w:cs="Arial"/>
            <w:webHidden/>
            <w:color w:val="auto"/>
            <w:u w:val="none"/>
          </w:rPr>
          <w:t>41</w:t>
        </w:r>
        <w:r w:rsidR="009E1E4F" w:rsidRPr="009E1E4F">
          <w:rPr>
            <w:rStyle w:val="Hyperlink"/>
            <w:rFonts w:ascii="Arial" w:hAnsi="Arial" w:cs="Arial"/>
            <w:webHidden/>
            <w:color w:val="auto"/>
            <w:u w:val="none"/>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78" w:history="1">
        <w:r w:rsidR="009E1E4F" w:rsidRPr="009E1E4F">
          <w:rPr>
            <w:rStyle w:val="Hyperlink"/>
            <w:rFonts w:ascii="Arial" w:hAnsi="Arial" w:cs="Arial"/>
            <w:caps/>
            <w:color w:val="auto"/>
            <w:u w:val="none"/>
          </w:rPr>
          <w:t>8</w:t>
        </w:r>
        <w:r w:rsidR="009E1E4F" w:rsidRPr="009E1E4F">
          <w:rPr>
            <w:rStyle w:val="Hyperlink"/>
            <w:rFonts w:ascii="Arial" w:hAnsi="Arial" w:cs="Arial"/>
            <w:caps/>
            <w:color w:val="auto"/>
            <w:u w:val="none"/>
          </w:rPr>
          <w:tab/>
          <w:t>Limitations and Closure</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_Toc404336678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43</w:t>
        </w:r>
        <w:r w:rsidR="009E1E4F" w:rsidRPr="009E1E4F">
          <w:rPr>
            <w:rStyle w:val="Hyperlink"/>
            <w:rFonts w:ascii="Arial" w:hAnsi="Arial" w:cs="Arial"/>
            <w:caps/>
            <w:webHidden/>
            <w:color w:val="auto"/>
            <w:u w:val="none"/>
          </w:rPr>
          <w:fldChar w:fldCharType="end"/>
        </w:r>
      </w:hyperlink>
    </w:p>
    <w:p w:rsidR="009E1E4F" w:rsidRPr="009E1E4F" w:rsidRDefault="00DA1AC9" w:rsidP="009E1E4F">
      <w:pPr>
        <w:pStyle w:val="TOC1"/>
        <w:tabs>
          <w:tab w:val="clear" w:pos="1440"/>
        </w:tabs>
        <w:ind w:left="720" w:hanging="720"/>
        <w:rPr>
          <w:rStyle w:val="Hyperlink"/>
          <w:rFonts w:ascii="Arial" w:hAnsi="Arial" w:cs="Arial"/>
          <w:caps/>
          <w:color w:val="auto"/>
          <w:u w:val="none"/>
        </w:rPr>
      </w:pPr>
      <w:hyperlink w:anchor="_Toc404336679" w:history="1">
        <w:r w:rsidR="009E1E4F" w:rsidRPr="009E1E4F">
          <w:rPr>
            <w:rStyle w:val="Hyperlink"/>
            <w:rFonts w:ascii="Arial" w:hAnsi="Arial" w:cs="Arial"/>
            <w:caps/>
            <w:color w:val="auto"/>
            <w:u w:val="none"/>
          </w:rPr>
          <w:t>9</w:t>
        </w:r>
        <w:r w:rsidR="009E1E4F" w:rsidRPr="009E1E4F">
          <w:rPr>
            <w:rStyle w:val="Hyperlink"/>
            <w:rFonts w:ascii="Arial" w:hAnsi="Arial" w:cs="Arial"/>
            <w:caps/>
            <w:color w:val="auto"/>
            <w:u w:val="none"/>
          </w:rPr>
          <w:tab/>
          <w:t>References</w:t>
        </w:r>
        <w:r w:rsidR="009E1E4F" w:rsidRPr="009E1E4F">
          <w:rPr>
            <w:rStyle w:val="Hyperlink"/>
            <w:rFonts w:ascii="Arial" w:hAnsi="Arial" w:cs="Arial"/>
            <w:caps/>
            <w:webHidden/>
            <w:color w:val="auto"/>
            <w:u w:val="none"/>
          </w:rPr>
          <w:tab/>
        </w:r>
        <w:r w:rsidR="009E1E4F" w:rsidRPr="009E1E4F">
          <w:rPr>
            <w:rStyle w:val="Hyperlink"/>
            <w:rFonts w:ascii="Arial" w:hAnsi="Arial" w:cs="Arial"/>
            <w:caps/>
            <w:webHidden/>
            <w:color w:val="auto"/>
            <w:u w:val="none"/>
          </w:rPr>
          <w:fldChar w:fldCharType="begin"/>
        </w:r>
        <w:r w:rsidR="009E1E4F" w:rsidRPr="009E1E4F">
          <w:rPr>
            <w:rStyle w:val="Hyperlink"/>
            <w:rFonts w:ascii="Arial" w:hAnsi="Arial" w:cs="Arial"/>
            <w:caps/>
            <w:webHidden/>
            <w:color w:val="auto"/>
            <w:u w:val="none"/>
          </w:rPr>
          <w:instrText xml:space="preserve"> PAGEREF _Toc404336679 \h </w:instrText>
        </w:r>
        <w:r w:rsidR="009E1E4F" w:rsidRPr="009E1E4F">
          <w:rPr>
            <w:rStyle w:val="Hyperlink"/>
            <w:rFonts w:ascii="Arial" w:hAnsi="Arial" w:cs="Arial"/>
            <w:caps/>
            <w:webHidden/>
            <w:color w:val="auto"/>
            <w:u w:val="none"/>
          </w:rPr>
        </w:r>
        <w:r w:rsidR="009E1E4F" w:rsidRPr="009E1E4F">
          <w:rPr>
            <w:rStyle w:val="Hyperlink"/>
            <w:rFonts w:ascii="Arial" w:hAnsi="Arial" w:cs="Arial"/>
            <w:caps/>
            <w:webHidden/>
            <w:color w:val="auto"/>
            <w:u w:val="none"/>
          </w:rPr>
          <w:fldChar w:fldCharType="separate"/>
        </w:r>
        <w:r w:rsidR="005C7D57">
          <w:rPr>
            <w:rStyle w:val="Hyperlink"/>
            <w:rFonts w:ascii="Arial" w:hAnsi="Arial" w:cs="Arial"/>
            <w:caps/>
            <w:webHidden/>
            <w:color w:val="auto"/>
            <w:u w:val="none"/>
          </w:rPr>
          <w:t>44</w:t>
        </w:r>
        <w:r w:rsidR="009E1E4F" w:rsidRPr="009E1E4F">
          <w:rPr>
            <w:rStyle w:val="Hyperlink"/>
            <w:rFonts w:ascii="Arial" w:hAnsi="Arial" w:cs="Arial"/>
            <w:caps/>
            <w:webHidden/>
            <w:color w:val="auto"/>
            <w:u w:val="none"/>
          </w:rPr>
          <w:fldChar w:fldCharType="end"/>
        </w:r>
      </w:hyperlink>
    </w:p>
    <w:p w:rsidR="008D431A" w:rsidRPr="00BA4F53" w:rsidRDefault="00A61AE1" w:rsidP="00BA2047">
      <w:pPr>
        <w:tabs>
          <w:tab w:val="left" w:pos="1440"/>
          <w:tab w:val="right" w:leader="dot" w:pos="9360"/>
        </w:tabs>
        <w:spacing w:line="264" w:lineRule="auto"/>
        <w:ind w:left="1440" w:hanging="1440"/>
        <w:rPr>
          <w:rFonts w:ascii="Arial" w:hAnsi="Arial" w:cs="Arial"/>
          <w:szCs w:val="22"/>
        </w:rPr>
      </w:pPr>
      <w:r w:rsidRPr="009E1E4F">
        <w:rPr>
          <w:rFonts w:ascii="Arial" w:hAnsi="Arial" w:cs="Arial"/>
          <w:szCs w:val="22"/>
        </w:rPr>
        <w:fldChar w:fldCharType="end"/>
      </w:r>
    </w:p>
    <w:p w:rsidR="00BA2047" w:rsidRPr="00BA4F53" w:rsidRDefault="00BA2047" w:rsidP="00BA2047">
      <w:pPr>
        <w:tabs>
          <w:tab w:val="left" w:pos="1440"/>
          <w:tab w:val="right" w:leader="dot" w:pos="9360"/>
        </w:tabs>
        <w:spacing w:line="264" w:lineRule="auto"/>
        <w:ind w:left="1440" w:hanging="1440"/>
        <w:rPr>
          <w:rFonts w:ascii="Arial" w:hAnsi="Arial" w:cs="Arial"/>
          <w:szCs w:val="22"/>
        </w:rPr>
      </w:pPr>
    </w:p>
    <w:p w:rsidR="00BA2047" w:rsidRPr="00BA4F53" w:rsidRDefault="00BA2047" w:rsidP="00BA2047">
      <w:pPr>
        <w:tabs>
          <w:tab w:val="left" w:pos="1440"/>
          <w:tab w:val="right" w:leader="dot" w:pos="9360"/>
        </w:tabs>
        <w:spacing w:line="264" w:lineRule="auto"/>
        <w:ind w:left="1440" w:hanging="1440"/>
        <w:rPr>
          <w:rFonts w:ascii="Arial" w:hAnsi="Arial" w:cs="Arial"/>
          <w:szCs w:val="22"/>
        </w:rPr>
      </w:pPr>
    </w:p>
    <w:p w:rsidR="00CF0E82" w:rsidRPr="00BA4F53" w:rsidRDefault="00CF0E82" w:rsidP="00CF0E82">
      <w:pPr>
        <w:pStyle w:val="TableofContents"/>
        <w:tabs>
          <w:tab w:val="left" w:pos="1440"/>
          <w:tab w:val="right" w:leader="dot" w:pos="9360"/>
        </w:tabs>
        <w:spacing w:after="120" w:line="264" w:lineRule="auto"/>
        <w:ind w:left="1440" w:hanging="1440"/>
        <w:rPr>
          <w:rFonts w:ascii="Arial" w:hAnsi="Arial" w:cs="Arial"/>
          <w:szCs w:val="22"/>
        </w:rPr>
      </w:pPr>
      <w:r w:rsidRPr="00BA4F53">
        <w:rPr>
          <w:rFonts w:ascii="Arial" w:hAnsi="Arial" w:cs="Arial"/>
          <w:szCs w:val="22"/>
        </w:rPr>
        <w:t>List of tables</w:t>
      </w:r>
    </w:p>
    <w:p w:rsidR="006050AD" w:rsidRPr="006050AD" w:rsidRDefault="00A61AE1" w:rsidP="006050AD">
      <w:pPr>
        <w:pStyle w:val="TOC1"/>
        <w:tabs>
          <w:tab w:val="clear" w:pos="1440"/>
        </w:tabs>
        <w:rPr>
          <w:rFonts w:ascii="Arial" w:eastAsiaTheme="minorEastAsia" w:hAnsi="Arial" w:cs="Arial"/>
          <w:szCs w:val="22"/>
          <w:lang w:eastAsia="en-CA"/>
        </w:rPr>
      </w:pPr>
      <w:r w:rsidRPr="006050AD">
        <w:rPr>
          <w:rStyle w:val="Hyperlink"/>
          <w:rFonts w:ascii="Arial" w:hAnsi="Arial" w:cs="Arial"/>
          <w:noProof w:val="0"/>
          <w:color w:val="auto"/>
          <w:u w:val="none"/>
        </w:rPr>
        <w:fldChar w:fldCharType="begin"/>
      </w:r>
      <w:r w:rsidR="00CF0E82" w:rsidRPr="006050AD">
        <w:rPr>
          <w:rStyle w:val="Hyperlink"/>
          <w:rFonts w:ascii="Arial" w:hAnsi="Arial" w:cs="Arial"/>
          <w:noProof w:val="0"/>
          <w:color w:val="auto"/>
          <w:u w:val="none"/>
        </w:rPr>
        <w:instrText xml:space="preserve"> TOC \h \z \t "Table,1" </w:instrText>
      </w:r>
      <w:r w:rsidRPr="006050AD">
        <w:rPr>
          <w:rStyle w:val="Hyperlink"/>
          <w:rFonts w:ascii="Arial" w:hAnsi="Arial" w:cs="Arial"/>
          <w:noProof w:val="0"/>
          <w:color w:val="auto"/>
          <w:u w:val="none"/>
        </w:rPr>
        <w:fldChar w:fldCharType="separate"/>
      </w:r>
      <w:hyperlink w:anchor="_Toc406511628" w:history="1">
        <w:r w:rsidR="006050AD" w:rsidRPr="006050AD">
          <w:rPr>
            <w:rStyle w:val="Hyperlink"/>
            <w:rFonts w:ascii="Arial" w:hAnsi="Arial" w:cs="Arial"/>
          </w:rPr>
          <w:t>Table 2.3.1-1:</w:t>
        </w:r>
        <w:r w:rsidR="006050AD">
          <w:rPr>
            <w:rStyle w:val="Hyperlink"/>
            <w:rFonts w:ascii="Arial" w:hAnsi="Arial" w:cs="Arial"/>
          </w:rPr>
          <w:tab/>
        </w:r>
        <w:r w:rsidR="006050AD" w:rsidRPr="006050AD">
          <w:rPr>
            <w:rStyle w:val="Hyperlink"/>
            <w:rFonts w:ascii="Arial" w:hAnsi="Arial" w:cs="Arial"/>
          </w:rPr>
          <w:t>Pre-Phase 1 Option 4 Objectives and Scope Elements</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_Toc406511628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5</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29" w:history="1">
        <w:r w:rsidR="006050AD" w:rsidRPr="006050AD">
          <w:rPr>
            <w:rStyle w:val="Hyperlink"/>
            <w:rFonts w:ascii="Arial" w:hAnsi="Arial" w:cs="Arial"/>
          </w:rPr>
          <w:t>Table 2.4.1-1:</w:t>
        </w:r>
        <w:r w:rsidR="006050AD">
          <w:rPr>
            <w:rStyle w:val="Hyperlink"/>
            <w:rFonts w:ascii="Arial" w:hAnsi="Arial" w:cs="Arial"/>
          </w:rPr>
          <w:tab/>
        </w:r>
        <w:r w:rsidR="006050AD" w:rsidRPr="006050AD">
          <w:rPr>
            <w:rStyle w:val="Hyperlink"/>
            <w:rFonts w:ascii="Arial" w:hAnsi="Arial" w:cs="Arial"/>
          </w:rPr>
          <w:t>Summary Level Cost Reconciliation Results</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_Toc406511629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8</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0" w:history="1">
        <w:r w:rsidR="006050AD" w:rsidRPr="006050AD">
          <w:rPr>
            <w:rStyle w:val="Hyperlink"/>
            <w:rFonts w:ascii="Arial" w:hAnsi="Arial" w:cs="Arial"/>
          </w:rPr>
          <w:t>Table 2.4.2-1:</w:t>
        </w:r>
        <w:r w:rsidR="006050AD">
          <w:rPr>
            <w:rStyle w:val="Hyperlink"/>
            <w:rFonts w:ascii="Arial" w:hAnsi="Arial" w:cs="Arial"/>
          </w:rPr>
          <w:tab/>
        </w:r>
        <w:r w:rsidR="006050AD" w:rsidRPr="006050AD">
          <w:rPr>
            <w:rStyle w:val="Hyperlink"/>
            <w:rFonts w:ascii="Arial" w:hAnsi="Arial" w:cs="Arial"/>
          </w:rPr>
          <w:t>Summary Reconciliation of the Quantities</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_Toc406511630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10</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1" w:history="1">
        <w:r w:rsidR="006050AD" w:rsidRPr="006050AD">
          <w:rPr>
            <w:rStyle w:val="Hyperlink"/>
            <w:rFonts w:ascii="Arial" w:hAnsi="Arial" w:cs="Arial"/>
          </w:rPr>
          <w:t>Table 3.2-1:</w:t>
        </w:r>
        <w:r w:rsidR="006050AD">
          <w:rPr>
            <w:rStyle w:val="Hyperlink"/>
            <w:rFonts w:ascii="Arial" w:hAnsi="Arial" w:cs="Arial"/>
          </w:rPr>
          <w:tab/>
        </w:r>
        <w:r w:rsidR="006050AD" w:rsidRPr="006050AD">
          <w:rPr>
            <w:rStyle w:val="Hyperlink"/>
            <w:rFonts w:ascii="Arial" w:hAnsi="Arial" w:cs="Arial"/>
          </w:rPr>
          <w:t>Summary of Key Estimating Assumptions</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_Toc406511631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16</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2" w:history="1">
        <w:r w:rsidR="006050AD" w:rsidRPr="006050AD">
          <w:rPr>
            <w:rStyle w:val="Hyperlink"/>
            <w:rFonts w:ascii="Arial" w:hAnsi="Arial" w:cs="Arial"/>
          </w:rPr>
          <w:t>Table 4.1-1:</w:t>
        </w:r>
        <w:r w:rsidR="006050AD">
          <w:rPr>
            <w:rStyle w:val="Hyperlink"/>
            <w:rFonts w:ascii="Arial" w:hAnsi="Arial" w:cs="Arial"/>
          </w:rPr>
          <w:tab/>
        </w:r>
        <w:r w:rsidR="006050AD" w:rsidRPr="006050AD">
          <w:rPr>
            <w:rStyle w:val="Hyperlink"/>
            <w:rFonts w:ascii="Arial" w:hAnsi="Arial" w:cs="Arial"/>
          </w:rPr>
          <w:t>Lower Bound Estimate</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_Toc406511632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22</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3" w:history="1">
        <w:r w:rsidR="006050AD" w:rsidRPr="006050AD">
          <w:rPr>
            <w:rStyle w:val="Hyperlink"/>
            <w:rFonts w:ascii="Arial" w:hAnsi="Arial" w:cs="Arial"/>
          </w:rPr>
          <w:t>Table 4.1-2:</w:t>
        </w:r>
        <w:r w:rsidR="006050AD">
          <w:rPr>
            <w:rStyle w:val="Hyperlink"/>
            <w:rFonts w:ascii="Arial" w:hAnsi="Arial" w:cs="Arial"/>
          </w:rPr>
          <w:tab/>
        </w:r>
        <w:r w:rsidR="006050AD" w:rsidRPr="006050AD">
          <w:rPr>
            <w:rStyle w:val="Hyperlink"/>
            <w:rFonts w:ascii="Arial" w:hAnsi="Arial" w:cs="Arial"/>
          </w:rPr>
          <w:t>Upper Bound Estimate</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_Toc406511633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24</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4" w:history="1">
        <w:r w:rsidR="006050AD" w:rsidRPr="006050AD">
          <w:rPr>
            <w:rStyle w:val="Hyperlink"/>
            <w:rFonts w:ascii="Arial" w:hAnsi="Arial" w:cs="Arial"/>
          </w:rPr>
          <w:t>Table 4.2-1:</w:t>
        </w:r>
        <w:r w:rsidR="006050AD">
          <w:rPr>
            <w:rStyle w:val="Hyperlink"/>
            <w:rFonts w:ascii="Arial" w:hAnsi="Arial" w:cs="Arial"/>
          </w:rPr>
          <w:tab/>
        </w:r>
        <w:r w:rsidR="006050AD" w:rsidRPr="006050AD">
          <w:rPr>
            <w:rStyle w:val="Hyperlink"/>
            <w:rFonts w:ascii="Arial" w:hAnsi="Arial" w:cs="Arial"/>
          </w:rPr>
          <w:t>Summary of Lower and Upper Bound Estimates</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_Toc406511634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27</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5" w:history="1">
        <w:r w:rsidR="006050AD" w:rsidRPr="006050AD">
          <w:rPr>
            <w:rStyle w:val="Hyperlink"/>
            <w:rFonts w:ascii="Arial" w:hAnsi="Arial" w:cs="Arial"/>
          </w:rPr>
          <w:t>Table 4.3-1:</w:t>
        </w:r>
        <w:r w:rsidR="006050AD">
          <w:rPr>
            <w:rStyle w:val="Hyperlink"/>
            <w:rFonts w:ascii="Arial" w:hAnsi="Arial" w:cs="Arial"/>
          </w:rPr>
          <w:tab/>
        </w:r>
        <w:r w:rsidR="006050AD" w:rsidRPr="006050AD">
          <w:rPr>
            <w:rStyle w:val="Hyperlink"/>
            <w:rFonts w:ascii="Arial" w:hAnsi="Arial" w:cs="Arial"/>
          </w:rPr>
          <w:t>Assessment of Key Scope, Cost and Risk Issues</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_Toc406511635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31</w:t>
        </w:r>
        <w:r w:rsidR="006050AD" w:rsidRPr="006050AD">
          <w:rPr>
            <w:rFonts w:ascii="Arial" w:hAnsi="Arial" w:cs="Arial"/>
            <w:webHidden/>
          </w:rPr>
          <w:fldChar w:fldCharType="end"/>
        </w:r>
      </w:hyperlink>
    </w:p>
    <w:p w:rsidR="006050AD" w:rsidRPr="006050AD" w:rsidRDefault="00DA1AC9" w:rsidP="006050AD">
      <w:pPr>
        <w:pStyle w:val="TOC1"/>
        <w:tabs>
          <w:tab w:val="clear" w:pos="1440"/>
        </w:tabs>
        <w:rPr>
          <w:rFonts w:ascii="Arial" w:eastAsiaTheme="minorEastAsia" w:hAnsi="Arial" w:cs="Arial"/>
          <w:szCs w:val="22"/>
          <w:lang w:eastAsia="en-CA"/>
        </w:rPr>
      </w:pPr>
      <w:hyperlink w:anchor="_Toc406511636" w:history="1">
        <w:r w:rsidR="006050AD" w:rsidRPr="006050AD">
          <w:rPr>
            <w:rStyle w:val="Hyperlink"/>
            <w:rFonts w:ascii="Arial" w:hAnsi="Arial" w:cs="Arial"/>
          </w:rPr>
          <w:t>Table 5.1.2-1:</w:t>
        </w:r>
        <w:r w:rsidR="006050AD">
          <w:rPr>
            <w:rStyle w:val="Hyperlink"/>
            <w:rFonts w:ascii="Arial" w:hAnsi="Arial" w:cs="Arial"/>
          </w:rPr>
          <w:tab/>
        </w:r>
        <w:r w:rsidR="006050AD" w:rsidRPr="006050AD">
          <w:rPr>
            <w:rStyle w:val="Hyperlink"/>
            <w:rFonts w:ascii="Arial" w:hAnsi="Arial" w:cs="Arial"/>
          </w:rPr>
          <w:t>Procurement Options Summary</w:t>
        </w:r>
        <w:r w:rsidR="006050AD" w:rsidRPr="006050AD">
          <w:rPr>
            <w:rFonts w:ascii="Arial" w:hAnsi="Arial" w:cs="Arial"/>
            <w:webHidden/>
          </w:rPr>
          <w:tab/>
        </w:r>
        <w:r w:rsidR="006050AD" w:rsidRPr="006050AD">
          <w:rPr>
            <w:rFonts w:ascii="Arial" w:hAnsi="Arial" w:cs="Arial"/>
            <w:webHidden/>
          </w:rPr>
          <w:fldChar w:fldCharType="begin"/>
        </w:r>
        <w:r w:rsidR="006050AD" w:rsidRPr="006050AD">
          <w:rPr>
            <w:rFonts w:ascii="Arial" w:hAnsi="Arial" w:cs="Arial"/>
            <w:webHidden/>
          </w:rPr>
          <w:instrText xml:space="preserve"> PAGEREF _Toc406511636 \h </w:instrText>
        </w:r>
        <w:r w:rsidR="006050AD" w:rsidRPr="006050AD">
          <w:rPr>
            <w:rFonts w:ascii="Arial" w:hAnsi="Arial" w:cs="Arial"/>
            <w:webHidden/>
          </w:rPr>
        </w:r>
        <w:r w:rsidR="006050AD" w:rsidRPr="006050AD">
          <w:rPr>
            <w:rFonts w:ascii="Arial" w:hAnsi="Arial" w:cs="Arial"/>
            <w:webHidden/>
          </w:rPr>
          <w:fldChar w:fldCharType="separate"/>
        </w:r>
        <w:r w:rsidR="005C7D57">
          <w:rPr>
            <w:rFonts w:ascii="Arial" w:hAnsi="Arial" w:cs="Arial"/>
            <w:webHidden/>
          </w:rPr>
          <w:t>33</w:t>
        </w:r>
        <w:r w:rsidR="006050AD" w:rsidRPr="006050AD">
          <w:rPr>
            <w:rFonts w:ascii="Arial" w:hAnsi="Arial" w:cs="Arial"/>
            <w:webHidden/>
          </w:rPr>
          <w:fldChar w:fldCharType="end"/>
        </w:r>
      </w:hyperlink>
    </w:p>
    <w:p w:rsidR="00CF0E82" w:rsidRPr="00BA4F53" w:rsidRDefault="00A61AE1" w:rsidP="006050AD">
      <w:pPr>
        <w:pStyle w:val="TOC1"/>
        <w:tabs>
          <w:tab w:val="clear" w:pos="1440"/>
        </w:tabs>
        <w:jc w:val="left"/>
        <w:rPr>
          <w:rFonts w:ascii="Arial" w:hAnsi="Arial" w:cs="Arial"/>
          <w:noProof w:val="0"/>
          <w:szCs w:val="22"/>
        </w:rPr>
      </w:pPr>
      <w:r w:rsidRPr="006050AD">
        <w:rPr>
          <w:rStyle w:val="Hyperlink"/>
          <w:rFonts w:ascii="Arial" w:hAnsi="Arial" w:cs="Arial"/>
          <w:noProof w:val="0"/>
          <w:color w:val="auto"/>
          <w:u w:val="none"/>
        </w:rPr>
        <w:fldChar w:fldCharType="end"/>
      </w:r>
    </w:p>
    <w:p w:rsidR="00CF0E82" w:rsidRPr="00BA4F53" w:rsidRDefault="00CF0E82" w:rsidP="00CF0E82">
      <w:pPr>
        <w:tabs>
          <w:tab w:val="left" w:pos="1440"/>
          <w:tab w:val="right" w:leader="dot" w:pos="9630"/>
        </w:tabs>
        <w:ind w:left="1440" w:hanging="1440"/>
        <w:jc w:val="left"/>
        <w:rPr>
          <w:rFonts w:ascii="Arial" w:hAnsi="Arial" w:cs="Arial"/>
          <w:szCs w:val="22"/>
        </w:rPr>
      </w:pPr>
    </w:p>
    <w:p w:rsidR="00CF0E82" w:rsidRPr="00BA4F53" w:rsidRDefault="00CF0E82" w:rsidP="00CF0E82">
      <w:pPr>
        <w:tabs>
          <w:tab w:val="left" w:pos="1440"/>
          <w:tab w:val="right" w:leader="dot" w:pos="9630"/>
        </w:tabs>
        <w:ind w:left="1440" w:hanging="1440"/>
        <w:jc w:val="left"/>
        <w:rPr>
          <w:rFonts w:ascii="Arial" w:hAnsi="Arial" w:cs="Arial"/>
          <w:szCs w:val="22"/>
        </w:rPr>
      </w:pPr>
    </w:p>
    <w:p w:rsidR="004F1438" w:rsidRPr="00BA4F53" w:rsidRDefault="004F1438" w:rsidP="004F1438">
      <w:pPr>
        <w:pStyle w:val="TableofContents"/>
        <w:tabs>
          <w:tab w:val="left" w:pos="1440"/>
          <w:tab w:val="right" w:leader="dot" w:pos="9360"/>
        </w:tabs>
        <w:spacing w:after="120" w:line="264" w:lineRule="auto"/>
        <w:ind w:left="1440" w:hanging="1440"/>
        <w:rPr>
          <w:rFonts w:ascii="Arial" w:hAnsi="Arial" w:cs="Arial"/>
          <w:szCs w:val="22"/>
        </w:rPr>
      </w:pPr>
      <w:r w:rsidRPr="00BA4F53">
        <w:rPr>
          <w:rFonts w:ascii="Arial" w:hAnsi="Arial" w:cs="Arial"/>
          <w:szCs w:val="22"/>
        </w:rPr>
        <w:t>List of APPENDICES</w:t>
      </w:r>
    </w:p>
    <w:p w:rsidR="009545AF" w:rsidRPr="00BA4F53" w:rsidRDefault="00CF5EA6" w:rsidP="008D0FEF">
      <w:pPr>
        <w:jc w:val="left"/>
        <w:rPr>
          <w:rFonts w:ascii="Arial" w:hAnsi="Arial" w:cs="Arial"/>
          <w:szCs w:val="22"/>
        </w:rPr>
      </w:pPr>
      <w:r w:rsidRPr="00BA4F53">
        <w:rPr>
          <w:rFonts w:ascii="Arial" w:hAnsi="Arial" w:cs="Arial"/>
          <w:szCs w:val="22"/>
        </w:rPr>
        <w:t xml:space="preserve">Appendix </w:t>
      </w:r>
      <w:proofErr w:type="spellStart"/>
      <w:r w:rsidR="00BA4F53" w:rsidRPr="00BA4F53">
        <w:rPr>
          <w:rFonts w:ascii="Arial" w:hAnsi="Arial" w:cs="Arial"/>
          <w:szCs w:val="22"/>
        </w:rPr>
        <w:t>2</w:t>
      </w:r>
      <w:r w:rsidR="00C77913" w:rsidRPr="00BA4F53">
        <w:rPr>
          <w:rFonts w:ascii="Arial" w:hAnsi="Arial" w:cs="Arial"/>
          <w:szCs w:val="22"/>
        </w:rPr>
        <w:t>A</w:t>
      </w:r>
      <w:proofErr w:type="spellEnd"/>
      <w:r w:rsidRPr="00BA4F53">
        <w:rPr>
          <w:rFonts w:ascii="Arial" w:hAnsi="Arial" w:cs="Arial"/>
          <w:szCs w:val="22"/>
        </w:rPr>
        <w:t>:</w:t>
      </w:r>
      <w:r w:rsidR="006472B6" w:rsidRPr="00BA4F53">
        <w:rPr>
          <w:rFonts w:ascii="Arial" w:hAnsi="Arial" w:cs="Arial"/>
          <w:szCs w:val="22"/>
        </w:rPr>
        <w:tab/>
      </w:r>
      <w:r w:rsidR="00BA4F53" w:rsidRPr="00BA4F53">
        <w:rPr>
          <w:rFonts w:ascii="Arial" w:hAnsi="Arial" w:cs="Arial"/>
          <w:szCs w:val="22"/>
        </w:rPr>
        <w:t>Detailed Cost Reconciliation</w:t>
      </w:r>
      <w:r w:rsidR="00E97128" w:rsidRPr="00BA4F53">
        <w:rPr>
          <w:rFonts w:ascii="Arial" w:hAnsi="Arial" w:cs="Arial"/>
          <w:szCs w:val="22"/>
        </w:rPr>
        <w:t xml:space="preserve"> Worksheets</w:t>
      </w:r>
    </w:p>
    <w:p w:rsidR="008C4B72" w:rsidRDefault="008C4B72" w:rsidP="008D0FEF">
      <w:pPr>
        <w:jc w:val="left"/>
        <w:rPr>
          <w:rFonts w:ascii="Arial" w:hAnsi="Arial" w:cs="Arial"/>
          <w:szCs w:val="22"/>
        </w:rPr>
      </w:pPr>
      <w:r w:rsidRPr="00BA4F53">
        <w:rPr>
          <w:rFonts w:ascii="Arial" w:hAnsi="Arial" w:cs="Arial"/>
          <w:szCs w:val="22"/>
        </w:rPr>
        <w:t xml:space="preserve">Appendix </w:t>
      </w:r>
      <w:proofErr w:type="spellStart"/>
      <w:r w:rsidR="00BA4F53" w:rsidRPr="00BA4F53">
        <w:rPr>
          <w:rFonts w:ascii="Arial" w:hAnsi="Arial" w:cs="Arial"/>
          <w:szCs w:val="22"/>
        </w:rPr>
        <w:t>2</w:t>
      </w:r>
      <w:r w:rsidRPr="00BA4F53">
        <w:rPr>
          <w:rFonts w:ascii="Arial" w:hAnsi="Arial" w:cs="Arial"/>
          <w:szCs w:val="22"/>
        </w:rPr>
        <w:t>B</w:t>
      </w:r>
      <w:proofErr w:type="spellEnd"/>
      <w:r w:rsidRPr="00BA4F53">
        <w:rPr>
          <w:rFonts w:ascii="Arial" w:hAnsi="Arial" w:cs="Arial"/>
          <w:szCs w:val="22"/>
        </w:rPr>
        <w:t>:</w:t>
      </w:r>
      <w:r w:rsidRPr="00BA4F53">
        <w:rPr>
          <w:rFonts w:ascii="Arial" w:hAnsi="Arial" w:cs="Arial"/>
          <w:szCs w:val="22"/>
        </w:rPr>
        <w:tab/>
      </w:r>
      <w:r w:rsidR="00BA4F53" w:rsidRPr="00BA4F53">
        <w:rPr>
          <w:rFonts w:ascii="Arial" w:hAnsi="Arial" w:cs="Arial"/>
          <w:szCs w:val="22"/>
        </w:rPr>
        <w:t>Detailed Quantity Breakdowns/Reconciliation</w:t>
      </w:r>
    </w:p>
    <w:p w:rsidR="008A6FDA" w:rsidRPr="00BA4F53" w:rsidRDefault="008A6FDA" w:rsidP="008D0FEF">
      <w:pPr>
        <w:jc w:val="left"/>
        <w:rPr>
          <w:rFonts w:ascii="Arial" w:hAnsi="Arial" w:cs="Arial"/>
          <w:szCs w:val="22"/>
        </w:rPr>
      </w:pPr>
      <w:r>
        <w:rPr>
          <w:rFonts w:ascii="Arial" w:hAnsi="Arial" w:cs="Arial"/>
          <w:szCs w:val="22"/>
        </w:rPr>
        <w:t xml:space="preserve">Appendix </w:t>
      </w:r>
      <w:proofErr w:type="spellStart"/>
      <w:r>
        <w:rPr>
          <w:rFonts w:ascii="Arial" w:hAnsi="Arial" w:cs="Arial"/>
          <w:szCs w:val="22"/>
        </w:rPr>
        <w:t>6A</w:t>
      </w:r>
      <w:proofErr w:type="spellEnd"/>
      <w:r>
        <w:rPr>
          <w:rFonts w:ascii="Arial" w:hAnsi="Arial" w:cs="Arial"/>
          <w:szCs w:val="22"/>
        </w:rPr>
        <w:t>:</w:t>
      </w:r>
      <w:r>
        <w:rPr>
          <w:rFonts w:ascii="Arial" w:hAnsi="Arial" w:cs="Arial"/>
          <w:szCs w:val="22"/>
        </w:rPr>
        <w:tab/>
        <w:t>Cost Review Workshop Agenda and Presentation Slides</w:t>
      </w:r>
    </w:p>
    <w:p w:rsidR="008D0FEF" w:rsidRPr="00BA4F53" w:rsidRDefault="008D0FEF" w:rsidP="008D0FEF">
      <w:pPr>
        <w:jc w:val="left"/>
        <w:rPr>
          <w:rFonts w:ascii="Arial" w:hAnsi="Arial" w:cs="Arial"/>
          <w:szCs w:val="22"/>
        </w:rPr>
      </w:pPr>
    </w:p>
    <w:p w:rsidR="00486421" w:rsidRPr="00BA4F53" w:rsidRDefault="00486421" w:rsidP="00107413">
      <w:pPr>
        <w:tabs>
          <w:tab w:val="left" w:pos="2160"/>
        </w:tabs>
        <w:jc w:val="left"/>
        <w:rPr>
          <w:rFonts w:ascii="Arial" w:hAnsi="Arial" w:cs="Arial"/>
        </w:rPr>
      </w:pPr>
    </w:p>
    <w:p w:rsidR="00835328" w:rsidRPr="00BA4F53" w:rsidRDefault="00835328" w:rsidP="000E26CA">
      <w:pPr>
        <w:pStyle w:val="BodyText"/>
        <w:rPr>
          <w:rFonts w:ascii="Arial" w:hAnsi="Arial"/>
        </w:rPr>
        <w:sectPr w:rsidR="00835328" w:rsidRPr="00BA4F53" w:rsidSect="001A11C5">
          <w:headerReference w:type="default" r:id="rId17"/>
          <w:footerReference w:type="default" r:id="rId18"/>
          <w:pgSz w:w="12240" w:h="15840" w:code="1"/>
          <w:pgMar w:top="720" w:right="1296" w:bottom="720" w:left="1296" w:header="720" w:footer="720" w:gutter="0"/>
          <w:pgNumType w:fmt="lowerRoman" w:start="1"/>
          <w:cols w:space="720"/>
        </w:sectPr>
      </w:pPr>
    </w:p>
    <w:p w:rsidR="000E26CA" w:rsidRPr="00BA4F53" w:rsidRDefault="00E22F81" w:rsidP="002A60F5">
      <w:pPr>
        <w:pStyle w:val="Heading1"/>
      </w:pPr>
      <w:bookmarkStart w:id="0" w:name="_Toc404336626"/>
      <w:bookmarkStart w:id="1" w:name="_Toc380053023"/>
      <w:bookmarkStart w:id="2" w:name="_Toc380163348"/>
      <w:r w:rsidRPr="00BA4F53">
        <w:lastRenderedPageBreak/>
        <w:t>Introduction</w:t>
      </w:r>
      <w:bookmarkEnd w:id="0"/>
    </w:p>
    <w:p w:rsidR="0022115F" w:rsidRPr="00BA4F53" w:rsidRDefault="00E22F81" w:rsidP="000E26CA">
      <w:pPr>
        <w:pStyle w:val="Heading2"/>
      </w:pPr>
      <w:bookmarkStart w:id="3" w:name="_Toc404336627"/>
      <w:bookmarkEnd w:id="1"/>
      <w:bookmarkEnd w:id="2"/>
      <w:r w:rsidRPr="00BA4F53">
        <w:t>Background</w:t>
      </w:r>
      <w:bookmarkEnd w:id="3"/>
    </w:p>
    <w:p w:rsidR="00583AA7" w:rsidRPr="00BA4F53" w:rsidRDefault="00583AA7" w:rsidP="00583AA7">
      <w:pPr>
        <w:pStyle w:val="BodyText"/>
      </w:pPr>
      <w:bookmarkStart w:id="4" w:name="_Toc374363735"/>
      <w:bookmarkStart w:id="5" w:name="_Toc380053024"/>
      <w:bookmarkStart w:id="6" w:name="_Toc380163349"/>
      <w:r w:rsidRPr="00BA4F53">
        <w:t xml:space="preserve">The Phase 1 </w:t>
      </w:r>
      <w:r w:rsidR="00D97D8A">
        <w:t xml:space="preserve">(30% Design Phase) </w:t>
      </w:r>
      <w:r w:rsidRPr="00BA4F53">
        <w:t xml:space="preserve">Cost Estimate Report for the </w:t>
      </w:r>
      <w:r w:rsidR="00BE48A6" w:rsidRPr="00BA4F53">
        <w:t>Mount Nansen Remediation Project (</w:t>
      </w:r>
      <w:proofErr w:type="spellStart"/>
      <w:r w:rsidRPr="00BA4F53">
        <w:t>MNRP</w:t>
      </w:r>
      <w:proofErr w:type="spellEnd"/>
      <w:r w:rsidR="00BE48A6" w:rsidRPr="00BA4F53">
        <w:t>)</w:t>
      </w:r>
      <w:r w:rsidRPr="00BA4F53">
        <w:t xml:space="preserve"> (AMEC,</w:t>
      </w:r>
      <w:r w:rsidR="00BE48A6" w:rsidRPr="00BA4F53">
        <w:t> </w:t>
      </w:r>
      <w:r w:rsidRPr="00BA4F53">
        <w:t>2014) provided an execution estimate considerably higher than the estimate available as Phase 1 was initiated ($</w:t>
      </w:r>
      <w:r w:rsidR="00BE48A6" w:rsidRPr="00BA4F53">
        <w:t>90</w:t>
      </w:r>
      <w:r w:rsidRPr="00BA4F53">
        <w:t xml:space="preserve"> M vs. </w:t>
      </w:r>
      <w:r w:rsidR="00BE48A6" w:rsidRPr="00BA4F53">
        <w:t>$34</w:t>
      </w:r>
      <w:r w:rsidRPr="00BA4F53">
        <w:t xml:space="preserve"> M). Following their review, Aboriginal Affairs and Northern Development Canada (</w:t>
      </w:r>
      <w:proofErr w:type="spellStart"/>
      <w:r w:rsidRPr="00BA4F53">
        <w:t>AANDC</w:t>
      </w:r>
      <w:proofErr w:type="spellEnd"/>
      <w:r w:rsidRPr="00BA4F53">
        <w:t xml:space="preserve">), the federal funding partner for the </w:t>
      </w:r>
      <w:proofErr w:type="spellStart"/>
      <w:r w:rsidRPr="00BA4F53">
        <w:t>MNRP</w:t>
      </w:r>
      <w:proofErr w:type="spellEnd"/>
      <w:r w:rsidRPr="00BA4F53">
        <w:t xml:space="preserve">, indicated that a review of opportunities for reducing execution cost estimates should be undertaken before initiating Phase 2 </w:t>
      </w:r>
      <w:r w:rsidR="00D97D8A">
        <w:t xml:space="preserve">(60% Design Phase) </w:t>
      </w:r>
      <w:r w:rsidRPr="00BA4F53">
        <w:t>design development activity. The scope of work outlined in this document was developed to respond to this request.</w:t>
      </w:r>
    </w:p>
    <w:p w:rsidR="0022115F" w:rsidRPr="00BA4F53" w:rsidRDefault="00E22F81" w:rsidP="000E26CA">
      <w:pPr>
        <w:pStyle w:val="Heading2"/>
      </w:pPr>
      <w:bookmarkStart w:id="7" w:name="_Toc404336628"/>
      <w:bookmarkEnd w:id="4"/>
      <w:bookmarkEnd w:id="5"/>
      <w:bookmarkEnd w:id="6"/>
      <w:r w:rsidRPr="00BA4F53">
        <w:t>Objective</w:t>
      </w:r>
      <w:bookmarkEnd w:id="7"/>
    </w:p>
    <w:p w:rsidR="00E22F81" w:rsidRPr="00BA4F53" w:rsidRDefault="00F4458C" w:rsidP="00E22F81">
      <w:pPr>
        <w:pStyle w:val="BodyText"/>
      </w:pPr>
      <w:r w:rsidRPr="00BA4F53">
        <w:t>Assessment and Abandoned Mines’ (</w:t>
      </w:r>
      <w:proofErr w:type="spellStart"/>
      <w:r w:rsidR="00583AA7" w:rsidRPr="00BA4F53">
        <w:t>AAM</w:t>
      </w:r>
      <w:proofErr w:type="spellEnd"/>
      <w:r w:rsidRPr="00BA4F53">
        <w:t>)</w:t>
      </w:r>
      <w:r w:rsidR="00583AA7" w:rsidRPr="00BA4F53">
        <w:t xml:space="preserve"> specified objective for the work was to review the costs included in the Phase 1 estimate with the intent to identify potential reductions in the overall project cost. This was to be done by reviewing potential adjustments to the techniques and/or approaches proposed for implementing </w:t>
      </w:r>
      <w:r w:rsidR="00FC30E6">
        <w:t xml:space="preserve">the selected remedial approach (i.e. </w:t>
      </w:r>
      <w:r w:rsidR="00583AA7" w:rsidRPr="00BA4F53">
        <w:t>Option 4</w:t>
      </w:r>
      <w:r w:rsidR="00FC30E6">
        <w:t xml:space="preserve"> in the pre-Phase 1 alternative evaluations)</w:t>
      </w:r>
      <w:r w:rsidR="00583AA7" w:rsidRPr="00BA4F53">
        <w:t xml:space="preserve"> by optimizing these techniques, or by adjusting the assumptions associated with the definition of Option 4.</w:t>
      </w:r>
    </w:p>
    <w:p w:rsidR="00583AA7" w:rsidRPr="00BA4F53" w:rsidRDefault="00583AA7" w:rsidP="00F4458C">
      <w:pPr>
        <w:pStyle w:val="Heading2"/>
      </w:pPr>
      <w:bookmarkStart w:id="8" w:name="_Toc404336629"/>
      <w:r w:rsidRPr="00BA4F53">
        <w:t>Scope of Work</w:t>
      </w:r>
      <w:bookmarkEnd w:id="8"/>
    </w:p>
    <w:p w:rsidR="00583AA7" w:rsidRPr="00BA4F53" w:rsidRDefault="00583AA7" w:rsidP="00F4458C">
      <w:pPr>
        <w:pStyle w:val="BodyText"/>
      </w:pPr>
      <w:r w:rsidRPr="00BA4F53">
        <w:t xml:space="preserve">The scope of work for the cost review was outlined in a document forwarded by </w:t>
      </w:r>
      <w:proofErr w:type="spellStart"/>
      <w:r w:rsidRPr="00BA4F53">
        <w:t>AAM</w:t>
      </w:r>
      <w:proofErr w:type="spellEnd"/>
      <w:r w:rsidRPr="00BA4F53">
        <w:t xml:space="preserve"> on </w:t>
      </w:r>
      <w:r w:rsidR="00F4458C" w:rsidRPr="00BA4F53">
        <w:br/>
      </w:r>
      <w:r w:rsidRPr="00BA4F53">
        <w:t xml:space="preserve">August </w:t>
      </w:r>
      <w:r w:rsidR="00F4458C" w:rsidRPr="00BA4F53">
        <w:t xml:space="preserve">7, </w:t>
      </w:r>
      <w:r w:rsidRPr="00BA4F53">
        <w:t xml:space="preserve">2014. </w:t>
      </w:r>
      <w:r w:rsidR="00F4458C" w:rsidRPr="00BA4F53">
        <w:t>The work was to include the following steps:</w:t>
      </w:r>
    </w:p>
    <w:p w:rsidR="00583AA7" w:rsidRPr="00BA4F53" w:rsidRDefault="00583AA7" w:rsidP="0070154C">
      <w:pPr>
        <w:pStyle w:val="bullet0"/>
      </w:pPr>
      <w:r w:rsidRPr="00BA4F53">
        <w:t xml:space="preserve">Teleconference with </w:t>
      </w:r>
      <w:proofErr w:type="spellStart"/>
      <w:r w:rsidRPr="00BA4F53">
        <w:t>AAM</w:t>
      </w:r>
      <w:proofErr w:type="spellEnd"/>
      <w:r w:rsidRPr="00BA4F53">
        <w:t xml:space="preserve">, </w:t>
      </w:r>
      <w:proofErr w:type="spellStart"/>
      <w:r w:rsidRPr="00BA4F53">
        <w:t>AANDC</w:t>
      </w:r>
      <w:proofErr w:type="spellEnd"/>
      <w:r w:rsidRPr="00BA4F53">
        <w:t xml:space="preserve"> and </w:t>
      </w:r>
      <w:r w:rsidR="00BE48A6" w:rsidRPr="00BA4F53">
        <w:t xml:space="preserve">Little Salmon </w:t>
      </w:r>
      <w:proofErr w:type="spellStart"/>
      <w:r w:rsidR="00BE48A6" w:rsidRPr="00BA4F53">
        <w:t>Carmacks</w:t>
      </w:r>
      <w:proofErr w:type="spellEnd"/>
      <w:r w:rsidR="00ED7781" w:rsidRPr="00BA4F53">
        <w:t xml:space="preserve"> First Nation</w:t>
      </w:r>
      <w:r w:rsidR="00BE48A6" w:rsidRPr="00BA4F53">
        <w:t xml:space="preserve"> (</w:t>
      </w:r>
      <w:proofErr w:type="spellStart"/>
      <w:r w:rsidRPr="00BA4F53">
        <w:t>LSCFN</w:t>
      </w:r>
      <w:proofErr w:type="spellEnd"/>
      <w:r w:rsidR="00BE48A6" w:rsidRPr="00BA4F53">
        <w:t>)</w:t>
      </w:r>
      <w:r w:rsidRPr="00BA4F53">
        <w:t xml:space="preserve"> to identify potential areas for further consideration.</w:t>
      </w:r>
    </w:p>
    <w:p w:rsidR="00583AA7" w:rsidRPr="00BA4F53" w:rsidRDefault="00F4458C" w:rsidP="0070154C">
      <w:pPr>
        <w:pStyle w:val="bullet0"/>
      </w:pPr>
      <w:r w:rsidRPr="00BA4F53">
        <w:t>R</w:t>
      </w:r>
      <w:r w:rsidR="00583AA7" w:rsidRPr="00BA4F53">
        <w:t>eview</w:t>
      </w:r>
      <w:r w:rsidRPr="00BA4F53">
        <w:t>ing</w:t>
      </w:r>
      <w:r w:rsidR="00583AA7" w:rsidRPr="00BA4F53">
        <w:t xml:space="preserve"> costs included in the </w:t>
      </w:r>
      <w:proofErr w:type="spellStart"/>
      <w:r w:rsidR="00D97D8A">
        <w:t>AACE</w:t>
      </w:r>
      <w:proofErr w:type="spellEnd"/>
      <w:r w:rsidR="00D97D8A">
        <w:t xml:space="preserve"> (Association for Advancement of Cost Engineering) </w:t>
      </w:r>
      <w:r w:rsidR="00583AA7" w:rsidRPr="00BA4F53">
        <w:t>Class 3 cost estimate and the previous cost estimat</w:t>
      </w:r>
      <w:r w:rsidR="00D97D8A">
        <w:t>e for this project (LORAX/AECOM</w:t>
      </w:r>
      <w:r w:rsidR="00583AA7" w:rsidRPr="00BA4F53">
        <w:t xml:space="preserve">) </w:t>
      </w:r>
      <w:r w:rsidRPr="00BA4F53">
        <w:t>to</w:t>
      </w:r>
      <w:r w:rsidR="00583AA7" w:rsidRPr="00BA4F53">
        <w:t xml:space="preserve"> produce a report that identifies any potential reductions. </w:t>
      </w:r>
      <w:r w:rsidRPr="00BA4F53">
        <w:t>A</w:t>
      </w:r>
      <w:r w:rsidR="00583AA7" w:rsidRPr="00BA4F53">
        <w:t xml:space="preserve">ny </w:t>
      </w:r>
      <w:r w:rsidR="00BE48A6" w:rsidRPr="00BA4F53">
        <w:t xml:space="preserve">incremental </w:t>
      </w:r>
      <w:r w:rsidR="00583AA7" w:rsidRPr="00BA4F53">
        <w:t xml:space="preserve">risks </w:t>
      </w:r>
      <w:r w:rsidR="00BE48A6" w:rsidRPr="00BA4F53">
        <w:t xml:space="preserve">to the Partners </w:t>
      </w:r>
      <w:r w:rsidRPr="00BA4F53">
        <w:t>associated with the cost reductions</w:t>
      </w:r>
      <w:r w:rsidR="00583AA7" w:rsidRPr="00BA4F53">
        <w:t xml:space="preserve"> </w:t>
      </w:r>
      <w:r w:rsidR="00E6154D">
        <w:t>were to</w:t>
      </w:r>
      <w:r w:rsidR="00583AA7" w:rsidRPr="00BA4F53">
        <w:t xml:space="preserve"> be identified as part of the process.</w:t>
      </w:r>
      <w:r w:rsidR="00A26851" w:rsidRPr="00BA4F53">
        <w:t xml:space="preserve"> The report </w:t>
      </w:r>
      <w:r w:rsidR="00E6154D">
        <w:t>was to</w:t>
      </w:r>
      <w:r w:rsidR="00583AA7" w:rsidRPr="00BA4F53">
        <w:t xml:space="preserve"> be presented using a table(s) to compare AMEC’s cost estimate and assumptions to the LORAX/AECOM cost estimate, the reason for the cost difference (e.g.</w:t>
      </w:r>
      <w:r w:rsidR="00A26851" w:rsidRPr="00BA4F53">
        <w:t> </w:t>
      </w:r>
      <w:r w:rsidR="00583AA7" w:rsidRPr="00BA4F53">
        <w:t>scope missed by either estimate, low or high unit rates, assumptions</w:t>
      </w:r>
      <w:r w:rsidR="009E1E4F">
        <w:t>/</w:t>
      </w:r>
      <w:r w:rsidR="00583AA7" w:rsidRPr="00BA4F53">
        <w:t>conservatism, general difference), identification of potential reductions or effici</w:t>
      </w:r>
      <w:r w:rsidR="00A26851" w:rsidRPr="00BA4F53">
        <w:t>encies and any resulting risks.</w:t>
      </w:r>
    </w:p>
    <w:p w:rsidR="00583AA7" w:rsidRPr="00BA4F53" w:rsidRDefault="00583AA7" w:rsidP="0070154C">
      <w:pPr>
        <w:pStyle w:val="bullet0"/>
      </w:pPr>
      <w:r w:rsidRPr="00BA4F53">
        <w:t xml:space="preserve">Workshop with </w:t>
      </w:r>
      <w:proofErr w:type="spellStart"/>
      <w:r w:rsidRPr="00BA4F53">
        <w:t>AAM</w:t>
      </w:r>
      <w:proofErr w:type="spellEnd"/>
      <w:r w:rsidRPr="00BA4F53">
        <w:t xml:space="preserve">, </w:t>
      </w:r>
      <w:proofErr w:type="spellStart"/>
      <w:r w:rsidRPr="00BA4F53">
        <w:t>AANDC</w:t>
      </w:r>
      <w:proofErr w:type="spellEnd"/>
      <w:r w:rsidRPr="00BA4F53">
        <w:t xml:space="preserve"> and </w:t>
      </w:r>
      <w:proofErr w:type="spellStart"/>
      <w:r w:rsidRPr="00BA4F53">
        <w:t>LSCFN</w:t>
      </w:r>
      <w:proofErr w:type="spellEnd"/>
      <w:r w:rsidRPr="00BA4F53">
        <w:t xml:space="preserve"> in Whitehorse to present the findings of the cost refinement exercise.</w:t>
      </w:r>
    </w:p>
    <w:p w:rsidR="00583AA7" w:rsidRPr="00BA4F53" w:rsidRDefault="00583AA7" w:rsidP="001D1328">
      <w:pPr>
        <w:pStyle w:val="BodyText"/>
      </w:pPr>
      <w:r w:rsidRPr="00BA4F53">
        <w:t>The work was not to include a value engineering exercise, which may or may not be the next steps following the cost refinement above.</w:t>
      </w:r>
    </w:p>
    <w:p w:rsidR="00583AA7" w:rsidRPr="00BA4F53" w:rsidRDefault="00583AA7" w:rsidP="001D1328">
      <w:pPr>
        <w:pStyle w:val="Heading2"/>
      </w:pPr>
      <w:bookmarkStart w:id="9" w:name="_Toc404336630"/>
      <w:r w:rsidRPr="00BA4F53">
        <w:lastRenderedPageBreak/>
        <w:t>Methodology</w:t>
      </w:r>
      <w:bookmarkEnd w:id="9"/>
    </w:p>
    <w:p w:rsidR="00583AA7" w:rsidRPr="00BA4F53" w:rsidRDefault="001D1328" w:rsidP="001D1328">
      <w:pPr>
        <w:pStyle w:val="BodyText"/>
      </w:pPr>
      <w:r w:rsidRPr="00BA4F53">
        <w:t xml:space="preserve">AMEC’s methodology for addressing the </w:t>
      </w:r>
      <w:r w:rsidR="00583AA7" w:rsidRPr="00BA4F53">
        <w:t xml:space="preserve">scope of work </w:t>
      </w:r>
      <w:r w:rsidRPr="00BA4F53">
        <w:t>was comprised of</w:t>
      </w:r>
      <w:r w:rsidR="00583AA7" w:rsidRPr="00BA4F53">
        <w:t xml:space="preserve"> the following three tasks:</w:t>
      </w:r>
    </w:p>
    <w:p w:rsidR="00583AA7" w:rsidRPr="00BA4F53" w:rsidRDefault="001D1328" w:rsidP="0070154C">
      <w:pPr>
        <w:pStyle w:val="bullet0"/>
      </w:pPr>
      <w:r w:rsidRPr="00BA4F53">
        <w:t>C</w:t>
      </w:r>
      <w:r w:rsidR="00583AA7" w:rsidRPr="00BA4F53">
        <w:t>ost reconciliation;</w:t>
      </w:r>
    </w:p>
    <w:p w:rsidR="00583AA7" w:rsidRPr="00BA4F53" w:rsidRDefault="001D1328" w:rsidP="0070154C">
      <w:pPr>
        <w:pStyle w:val="bullet0"/>
      </w:pPr>
      <w:r w:rsidRPr="00BA4F53">
        <w:t>E</w:t>
      </w:r>
      <w:r w:rsidR="00583AA7" w:rsidRPr="00BA4F53">
        <w:t>stimating assumptions review and update; and</w:t>
      </w:r>
    </w:p>
    <w:p w:rsidR="00583AA7" w:rsidRPr="00BA4F53" w:rsidRDefault="001D1328" w:rsidP="0070154C">
      <w:pPr>
        <w:pStyle w:val="bullet0"/>
      </w:pPr>
      <w:r w:rsidRPr="00BA4F53">
        <w:t>E</w:t>
      </w:r>
      <w:r w:rsidR="00583AA7" w:rsidRPr="00BA4F53">
        <w:t xml:space="preserve">stimating </w:t>
      </w:r>
      <w:r w:rsidR="00FC30E6">
        <w:t>sensitivity</w:t>
      </w:r>
      <w:r w:rsidR="00583AA7" w:rsidRPr="00BA4F53">
        <w:t xml:space="preserve"> assessment.</w:t>
      </w:r>
    </w:p>
    <w:p w:rsidR="00583AA7" w:rsidRPr="00BA4F53" w:rsidRDefault="00583AA7" w:rsidP="001D1328">
      <w:pPr>
        <w:pStyle w:val="Heading3"/>
      </w:pPr>
      <w:bookmarkStart w:id="10" w:name="_Toc404336631"/>
      <w:r w:rsidRPr="00BA4F53">
        <w:t>Cost Reconciliation</w:t>
      </w:r>
      <w:bookmarkEnd w:id="10"/>
    </w:p>
    <w:p w:rsidR="00583AA7" w:rsidRPr="00BA4F53" w:rsidRDefault="00583AA7" w:rsidP="001D1328">
      <w:pPr>
        <w:pStyle w:val="BodyText"/>
      </w:pPr>
      <w:r w:rsidRPr="00BA4F53">
        <w:t>AMEC complete</w:t>
      </w:r>
      <w:r w:rsidR="001D1328" w:rsidRPr="00BA4F53">
        <w:t>d</w:t>
      </w:r>
      <w:r w:rsidRPr="00BA4F53">
        <w:t xml:space="preserve"> a reconciliation of the pre-Phase 1 LORAX/AECOM estimate and the Phase 1 AMEC estimate. This reconciliation </w:t>
      </w:r>
      <w:r w:rsidR="001D1328" w:rsidRPr="00BA4F53">
        <w:t>was intended to</w:t>
      </w:r>
      <w:r w:rsidRPr="00BA4F53">
        <w:t xml:space="preserve"> identify:</w:t>
      </w:r>
    </w:p>
    <w:p w:rsidR="00583AA7" w:rsidRPr="00BA4F53" w:rsidRDefault="001D1328" w:rsidP="0070154C">
      <w:pPr>
        <w:pStyle w:val="bullet0"/>
      </w:pPr>
      <w:r w:rsidRPr="00BA4F53">
        <w:t>A</w:t>
      </w:r>
      <w:r w:rsidR="00583AA7" w:rsidRPr="00BA4F53">
        <w:t>ny previously unidentified scope elements that were added to the Phase 1 estimate;</w:t>
      </w:r>
    </w:p>
    <w:p w:rsidR="00583AA7" w:rsidRPr="00BA4F53" w:rsidRDefault="001D1328" w:rsidP="0070154C">
      <w:pPr>
        <w:pStyle w:val="bullet0"/>
      </w:pPr>
      <w:r w:rsidRPr="00BA4F53">
        <w:t>K</w:t>
      </w:r>
      <w:r w:rsidR="00583AA7" w:rsidRPr="00BA4F53">
        <w:t>ey elements of the project scope and/or the associated execution methods that exhibit significant differences between the estimates; and</w:t>
      </w:r>
    </w:p>
    <w:p w:rsidR="00583AA7" w:rsidRPr="00BA4F53" w:rsidRDefault="001D1328" w:rsidP="0070154C">
      <w:pPr>
        <w:pStyle w:val="bullet0"/>
      </w:pPr>
      <w:r w:rsidRPr="00BA4F53">
        <w:t>T</w:t>
      </w:r>
      <w:r w:rsidR="00583AA7" w:rsidRPr="00BA4F53">
        <w:t>he primary drivers for cost differences in those scope areas/execution methods (</w:t>
      </w:r>
      <w:r w:rsidR="00025FA8" w:rsidRPr="00BA4F53">
        <w:t>e.g.</w:t>
      </w:r>
      <w:r w:rsidR="00025FA8">
        <w:t> </w:t>
      </w:r>
      <w:r w:rsidR="00025FA8" w:rsidRPr="00BA4F53">
        <w:t>differences</w:t>
      </w:r>
      <w:r w:rsidR="00583AA7" w:rsidRPr="00BA4F53">
        <w:t xml:space="preserve"> in quantity, pricing and/or execution methodology).</w:t>
      </w:r>
    </w:p>
    <w:p w:rsidR="00583AA7" w:rsidRPr="00BA4F53" w:rsidRDefault="00583AA7" w:rsidP="001D1328">
      <w:pPr>
        <w:pStyle w:val="Heading3"/>
      </w:pPr>
      <w:bookmarkStart w:id="11" w:name="_Toc404336632"/>
      <w:r w:rsidRPr="00BA4F53">
        <w:t>Updating Estimating Assumptions</w:t>
      </w:r>
      <w:bookmarkEnd w:id="11"/>
    </w:p>
    <w:p w:rsidR="00583AA7" w:rsidRPr="00BA4F53" w:rsidRDefault="00583AA7" w:rsidP="001D1328">
      <w:pPr>
        <w:pStyle w:val="BodyText"/>
      </w:pPr>
      <w:r w:rsidRPr="00BA4F53">
        <w:t xml:space="preserve">One of the dangers in any cost review exercise is the tendency to </w:t>
      </w:r>
      <w:r w:rsidR="00D97D8A">
        <w:t>“</w:t>
      </w:r>
      <w:r w:rsidRPr="00BA4F53">
        <w:t>cherry pick</w:t>
      </w:r>
      <w:r w:rsidR="00D97D8A">
        <w:t>”</w:t>
      </w:r>
      <w:r w:rsidRPr="00BA4F53">
        <w:t xml:space="preserve"> estimating assumptions to reduce costs to thresholds that meet a pre-determined objective. To avoid this, it is important to apply a consistent and objective approach to setting assumptions that may be required in the context of considerable uncertainty, and that kind of effort was reflected in establishing the Phase 1 estimating assumptions. </w:t>
      </w:r>
      <w:r w:rsidR="001D1328" w:rsidRPr="00BA4F53">
        <w:t>Nevertheless, it was known that</w:t>
      </w:r>
      <w:r w:rsidRPr="00BA4F53">
        <w:t xml:space="preserve"> there </w:t>
      </w:r>
      <w:r w:rsidR="001D1328" w:rsidRPr="00BA4F53">
        <w:t xml:space="preserve">were </w:t>
      </w:r>
      <w:r w:rsidRPr="00BA4F53">
        <w:t xml:space="preserve">some modifications to key assumptions that </w:t>
      </w:r>
      <w:r w:rsidR="001D1328" w:rsidRPr="00BA4F53">
        <w:t>could</w:t>
      </w:r>
      <w:r w:rsidRPr="00BA4F53">
        <w:t xml:space="preserve"> be defended. AMEC review</w:t>
      </w:r>
      <w:r w:rsidR="001D1328" w:rsidRPr="00BA4F53">
        <w:t>ed</w:t>
      </w:r>
      <w:r w:rsidRPr="00BA4F53">
        <w:t xml:space="preserve"> these key assumptions in light of developments since the conclusion of Phase 1 to identify where modifications </w:t>
      </w:r>
      <w:r w:rsidR="001D1328" w:rsidRPr="00BA4F53">
        <w:t>could</w:t>
      </w:r>
      <w:r w:rsidRPr="00BA4F53">
        <w:t xml:space="preserve"> be justified, or to identify those scope elements where equally valid estimating assumptions </w:t>
      </w:r>
      <w:r w:rsidR="001D1328" w:rsidRPr="00BA4F53">
        <w:t>could</w:t>
      </w:r>
      <w:r w:rsidRPr="00BA4F53">
        <w:t xml:space="preserve"> produce a significant range in cost outcomes.</w:t>
      </w:r>
    </w:p>
    <w:p w:rsidR="001D1328" w:rsidRPr="00BA4F53" w:rsidRDefault="001D1328" w:rsidP="001D1328">
      <w:pPr>
        <w:pStyle w:val="Heading3"/>
      </w:pPr>
      <w:bookmarkStart w:id="12" w:name="_Toc404336633"/>
      <w:r w:rsidRPr="00BA4F53">
        <w:t>Assessment of Estimating Uncertainties (Sensitivity Assessment)</w:t>
      </w:r>
      <w:bookmarkEnd w:id="12"/>
    </w:p>
    <w:p w:rsidR="001D1328" w:rsidRPr="00BA4F53" w:rsidRDefault="001D1328" w:rsidP="001D1328">
      <w:pPr>
        <w:pStyle w:val="BodyText"/>
      </w:pPr>
      <w:r w:rsidRPr="00BA4F53">
        <w:t xml:space="preserve">There are a variety of methods that could be applied to characterize and quantify uncertainties in </w:t>
      </w:r>
      <w:r w:rsidR="00BE48A6" w:rsidRPr="00BA4F53">
        <w:t>an</w:t>
      </w:r>
      <w:r w:rsidRPr="00BA4F53">
        <w:t xml:space="preserve"> estimate. A cost risk analysis could be undertaken to illustrate the impact of likely ranges in quantities and prices on the probabilities of various cost outcomes. These exercises can be labour intensive and may not add justifiable value at this stage. They are likely to identify those components of uncertainty that are already known to influence the estimate, and predict a fairly wide range of possible cost outcomes.</w:t>
      </w:r>
    </w:p>
    <w:p w:rsidR="001D1328" w:rsidRPr="00BA4F53" w:rsidRDefault="001D1328" w:rsidP="00BE48A6">
      <w:pPr>
        <w:pStyle w:val="BodyText"/>
        <w:keepNext/>
        <w:keepLines/>
      </w:pPr>
      <w:r w:rsidRPr="00BA4F53">
        <w:lastRenderedPageBreak/>
        <w:t>For this exercise, AMEC completed a relatively straightforward cost sensitivity analysis intended to quantify the influence of those inputs known to carry the greatest uncertainty (i.e. defining a consensus range for the most sensitive quantities and/or prices and determining the influence on final estimate ranges). This effort did not attach probabilities to specific cost outcomes, but provided a reasonable characterization of the relationship between estimate variability and key estimating inputs and assumptions.</w:t>
      </w:r>
    </w:p>
    <w:p w:rsidR="001D1328" w:rsidRPr="00BA4F53" w:rsidRDefault="001D1328" w:rsidP="001D1328">
      <w:pPr>
        <w:pStyle w:val="BodyText"/>
      </w:pPr>
      <w:r w:rsidRPr="00BA4F53">
        <w:t xml:space="preserve">AMEC also addressed some of those key variables where assumptions about contractor execution methods and capabilities have a strong influence on estimate outcomes. In some cases, conservative assumptions about likely contractor methods </w:t>
      </w:r>
      <w:r w:rsidR="001437DF" w:rsidRPr="00BA4F53">
        <w:t>increased</w:t>
      </w:r>
      <w:r w:rsidRPr="00BA4F53">
        <w:t xml:space="preserve"> the estimate. As part of this assessment, AMEC attempt</w:t>
      </w:r>
      <w:r w:rsidR="001437DF" w:rsidRPr="00BA4F53">
        <w:t>ed</w:t>
      </w:r>
      <w:r w:rsidRPr="00BA4F53">
        <w:t xml:space="preserve"> to quantify how more liberal assumptions about likely contractor responses to tender specifications could influence the estimate.</w:t>
      </w:r>
    </w:p>
    <w:p w:rsidR="00A2763D" w:rsidRPr="00BA4F53" w:rsidRDefault="00A2763D" w:rsidP="00A2763D">
      <w:pPr>
        <w:pStyle w:val="Heading3"/>
      </w:pPr>
      <w:bookmarkStart w:id="13" w:name="_Toc404336634"/>
      <w:r w:rsidRPr="00BA4F53">
        <w:t>Meetings</w:t>
      </w:r>
      <w:bookmarkEnd w:id="13"/>
    </w:p>
    <w:p w:rsidR="00A2763D" w:rsidRPr="00BA4F53" w:rsidRDefault="00BE48A6" w:rsidP="00BE48A6">
      <w:pPr>
        <w:pStyle w:val="Heading4"/>
        <w:rPr>
          <w:lang w:val="en-CA"/>
        </w:rPr>
      </w:pPr>
      <w:r w:rsidRPr="00BA4F53">
        <w:rPr>
          <w:lang w:val="en-CA"/>
        </w:rPr>
        <w:t>Kick-off Teleconference</w:t>
      </w:r>
    </w:p>
    <w:p w:rsidR="00BE48A6" w:rsidRPr="00BA4F53" w:rsidRDefault="00BE48A6" w:rsidP="00A2763D">
      <w:pPr>
        <w:pStyle w:val="BodyText"/>
      </w:pPr>
      <w:r w:rsidRPr="00BA4F53">
        <w:t xml:space="preserve">The cost review was initiated with a teleconference on September 17, 2014 attended by representatives of </w:t>
      </w:r>
      <w:proofErr w:type="spellStart"/>
      <w:r w:rsidRPr="00BA4F53">
        <w:t>AAM</w:t>
      </w:r>
      <w:proofErr w:type="spellEnd"/>
      <w:r w:rsidRPr="00BA4F53">
        <w:t xml:space="preserve">, </w:t>
      </w:r>
      <w:proofErr w:type="spellStart"/>
      <w:r w:rsidRPr="00BA4F53">
        <w:t>AANDC</w:t>
      </w:r>
      <w:proofErr w:type="spellEnd"/>
      <w:r w:rsidRPr="00BA4F53">
        <w:t xml:space="preserve">, </w:t>
      </w:r>
      <w:proofErr w:type="spellStart"/>
      <w:r w:rsidRPr="00BA4F53">
        <w:t>LSCFN</w:t>
      </w:r>
      <w:proofErr w:type="spellEnd"/>
      <w:r w:rsidRPr="00BA4F53">
        <w:t xml:space="preserve"> and key members of the AMEC estimating team. The teleconference focused on:</w:t>
      </w:r>
    </w:p>
    <w:p w:rsidR="00BE48A6" w:rsidRPr="00BA4F53" w:rsidRDefault="00BE48A6" w:rsidP="0070154C">
      <w:pPr>
        <w:pStyle w:val="bullet0"/>
      </w:pPr>
      <w:r w:rsidRPr="00BA4F53">
        <w:t>A review of the scope of work to ensure alignment on activity and deliverables;</w:t>
      </w:r>
    </w:p>
    <w:p w:rsidR="00BE48A6" w:rsidRPr="00BA4F53" w:rsidRDefault="00BE48A6" w:rsidP="0070154C">
      <w:pPr>
        <w:pStyle w:val="bullet0"/>
      </w:pPr>
      <w:r w:rsidRPr="00BA4F53">
        <w:t>The formats anticipated for the cost reconciliation and the sensitivity assessment; and</w:t>
      </w:r>
    </w:p>
    <w:p w:rsidR="00BE48A6" w:rsidRPr="00BA4F53" w:rsidRDefault="00BE48A6" w:rsidP="0070154C">
      <w:pPr>
        <w:pStyle w:val="bullet0"/>
      </w:pPr>
      <w:r w:rsidRPr="00BA4F53">
        <w:t>Discussion around key scope areas and potential adjustments to assumptions that strongly influence the estimate.</w:t>
      </w:r>
    </w:p>
    <w:p w:rsidR="00A2763D" w:rsidRPr="00BA4F53" w:rsidRDefault="00BE48A6" w:rsidP="00BE48A6">
      <w:pPr>
        <w:pStyle w:val="Heading4"/>
        <w:rPr>
          <w:lang w:val="en-CA"/>
        </w:rPr>
      </w:pPr>
      <w:r w:rsidRPr="00BA4F53">
        <w:rPr>
          <w:lang w:val="en-CA"/>
        </w:rPr>
        <w:t>Cost Review Workshop</w:t>
      </w:r>
    </w:p>
    <w:p w:rsidR="00BE48A6" w:rsidRPr="00BA4F53" w:rsidRDefault="00BE48A6" w:rsidP="00A2763D">
      <w:pPr>
        <w:pStyle w:val="BodyText"/>
      </w:pPr>
      <w:r w:rsidRPr="00BA4F53">
        <w:t xml:space="preserve">A cost </w:t>
      </w:r>
      <w:r w:rsidR="00D97D8A">
        <w:t xml:space="preserve">review </w:t>
      </w:r>
      <w:r w:rsidRPr="00BA4F53">
        <w:t xml:space="preserve">workshop </w:t>
      </w:r>
      <w:r w:rsidR="00FC30E6">
        <w:t>was</w:t>
      </w:r>
      <w:r w:rsidRPr="00BA4F53">
        <w:t xml:space="preserve"> </w:t>
      </w:r>
      <w:r w:rsidR="0026235C">
        <w:t>conducted on</w:t>
      </w:r>
      <w:r w:rsidRPr="00BA4F53">
        <w:t xml:space="preserve"> October </w:t>
      </w:r>
      <w:r w:rsidR="00FC30E6">
        <w:t xml:space="preserve">23, 2014 </w:t>
      </w:r>
      <w:r w:rsidRPr="00BA4F53">
        <w:t xml:space="preserve">in Whitehorse (attended by </w:t>
      </w:r>
      <w:proofErr w:type="spellStart"/>
      <w:r w:rsidRPr="00BA4F53">
        <w:t>AAM</w:t>
      </w:r>
      <w:proofErr w:type="spellEnd"/>
      <w:r w:rsidRPr="00BA4F53">
        <w:t xml:space="preserve">, </w:t>
      </w:r>
      <w:proofErr w:type="spellStart"/>
      <w:r w:rsidRPr="00BA4F53">
        <w:t>AANDC</w:t>
      </w:r>
      <w:proofErr w:type="spellEnd"/>
      <w:r w:rsidRPr="00BA4F53">
        <w:t xml:space="preserve">, </w:t>
      </w:r>
      <w:proofErr w:type="spellStart"/>
      <w:r w:rsidRPr="00BA4F53">
        <w:t>LSCFN</w:t>
      </w:r>
      <w:proofErr w:type="spellEnd"/>
      <w:r w:rsidRPr="00BA4F53">
        <w:t>, and AMEC) that focus</w:t>
      </w:r>
      <w:r w:rsidR="00FC30E6">
        <w:t>ed</w:t>
      </w:r>
      <w:r w:rsidRPr="00BA4F53">
        <w:t xml:space="preserve"> on the draft outcomes of AMEC’s cost review and continue</w:t>
      </w:r>
      <w:r w:rsidR="00FC30E6">
        <w:t>d</w:t>
      </w:r>
      <w:r w:rsidRPr="00BA4F53">
        <w:t xml:space="preserve"> the discussions around scope adjustments and their estima</w:t>
      </w:r>
      <w:r w:rsidR="00FC30E6">
        <w:t>ted influence on project costs.</w:t>
      </w:r>
    </w:p>
    <w:p w:rsidR="00A2763D" w:rsidRPr="00BA4F53" w:rsidRDefault="00A2763D" w:rsidP="00A2763D">
      <w:pPr>
        <w:pStyle w:val="BodyText"/>
      </w:pPr>
    </w:p>
    <w:p w:rsidR="00A2763D" w:rsidRPr="00BA4F53" w:rsidRDefault="00A2763D" w:rsidP="00A2763D">
      <w:pPr>
        <w:pStyle w:val="BodyText"/>
      </w:pPr>
    </w:p>
    <w:p w:rsidR="00590731" w:rsidRPr="00BA4F53" w:rsidRDefault="00590731">
      <w:pPr>
        <w:jc w:val="left"/>
        <w:rPr>
          <w:rFonts w:eastAsiaTheme="minorHAnsi"/>
          <w:szCs w:val="22"/>
          <w:lang w:eastAsia="en-CA"/>
        </w:rPr>
      </w:pPr>
      <w:r w:rsidRPr="00BA4F53">
        <w:br w:type="page"/>
      </w:r>
    </w:p>
    <w:p w:rsidR="00324F7F" w:rsidRPr="00BA4F53" w:rsidRDefault="00E22F81" w:rsidP="002A60F5">
      <w:pPr>
        <w:pStyle w:val="Heading1"/>
      </w:pPr>
      <w:bookmarkStart w:id="14" w:name="_Toc404336635"/>
      <w:r w:rsidRPr="00BA4F53">
        <w:lastRenderedPageBreak/>
        <w:t>Estimate Reconciliation</w:t>
      </w:r>
      <w:bookmarkEnd w:id="14"/>
    </w:p>
    <w:p w:rsidR="00E22F81" w:rsidRPr="00BA4F53" w:rsidRDefault="00E22F81" w:rsidP="00E22F81">
      <w:pPr>
        <w:pStyle w:val="Heading2"/>
      </w:pPr>
      <w:bookmarkStart w:id="15" w:name="_Toc404336636"/>
      <w:r w:rsidRPr="00BA4F53">
        <w:t>Overview</w:t>
      </w:r>
      <w:bookmarkEnd w:id="15"/>
    </w:p>
    <w:p w:rsidR="00733879" w:rsidRPr="00BA4F53" w:rsidRDefault="00733879" w:rsidP="00733879">
      <w:pPr>
        <w:pStyle w:val="BodyText"/>
        <w:rPr>
          <w:lang w:eastAsia="en-CA"/>
        </w:rPr>
      </w:pPr>
      <w:r w:rsidRPr="00BA4F53">
        <w:rPr>
          <w:lang w:eastAsia="en-CA"/>
        </w:rPr>
        <w:t xml:space="preserve">The cost review began with a detailed reconciliation of the pre-Phase 1 AECOM estimate against the Phase 1 AMEC estimate. This section confirms the source estimates that were compared, explains the format that was used for the reconciliation of quantities and costs, and presents key findings made regarding the following </w:t>
      </w:r>
      <w:r w:rsidR="00D97D8A">
        <w:rPr>
          <w:lang w:eastAsia="en-CA"/>
        </w:rPr>
        <w:t>reconciliation</w:t>
      </w:r>
      <w:r w:rsidRPr="00BA4F53">
        <w:rPr>
          <w:lang w:eastAsia="en-CA"/>
        </w:rPr>
        <w:t xml:space="preserve"> objectives:</w:t>
      </w:r>
    </w:p>
    <w:p w:rsidR="00733879" w:rsidRPr="00BA4F53" w:rsidRDefault="00733879" w:rsidP="00733879">
      <w:pPr>
        <w:pStyle w:val="bullet0"/>
      </w:pPr>
      <w:r w:rsidRPr="00BA4F53">
        <w:t>Identify any previously unidentified scope elements that were added to the Phase 1 estimate;</w:t>
      </w:r>
    </w:p>
    <w:p w:rsidR="00733879" w:rsidRPr="00BA4F53" w:rsidRDefault="00733879" w:rsidP="00733879">
      <w:pPr>
        <w:pStyle w:val="bullet0"/>
      </w:pPr>
      <w:r w:rsidRPr="00BA4F53">
        <w:t>Identify key elements of the project scope and/or the associated execution methods that exhibit significant differences between the estimates; and</w:t>
      </w:r>
    </w:p>
    <w:p w:rsidR="00733879" w:rsidRPr="00BA4F53" w:rsidRDefault="00733879" w:rsidP="00733879">
      <w:pPr>
        <w:pStyle w:val="bullet0"/>
      </w:pPr>
      <w:r w:rsidRPr="00BA4F53">
        <w:t>Identify the primary drivers for cost differences in those scope areas/execution methods (e.g. differences in quantity, pricing and/or execution methodology).</w:t>
      </w:r>
    </w:p>
    <w:p w:rsidR="00C27AB1" w:rsidRPr="00BA4F53" w:rsidRDefault="00E22F81" w:rsidP="00E22F81">
      <w:pPr>
        <w:pStyle w:val="Heading2"/>
      </w:pPr>
      <w:bookmarkStart w:id="16" w:name="_Toc404336637"/>
      <w:r w:rsidRPr="00BA4F53">
        <w:t>Source Estimates</w:t>
      </w:r>
      <w:bookmarkEnd w:id="16"/>
    </w:p>
    <w:p w:rsidR="00E22F81" w:rsidRPr="00BA4F53" w:rsidRDefault="00E22F81" w:rsidP="00E22F81">
      <w:pPr>
        <w:pStyle w:val="BodyText"/>
      </w:pPr>
      <w:r w:rsidRPr="00BA4F53">
        <w:t xml:space="preserve">The source documents for the reconciliation were the estimate completed for </w:t>
      </w:r>
      <w:proofErr w:type="spellStart"/>
      <w:r w:rsidRPr="00BA4F53">
        <w:t>AAM</w:t>
      </w:r>
      <w:proofErr w:type="spellEnd"/>
      <w:r w:rsidRPr="00BA4F53">
        <w:t xml:space="preserve"> during the pre-Phase 1 option selection work and the Phase 1 estimate completed by AMEC. The specific documents were as follows:</w:t>
      </w:r>
    </w:p>
    <w:p w:rsidR="00E22F81" w:rsidRPr="00BA4F53" w:rsidRDefault="00E22F81" w:rsidP="0070154C">
      <w:pPr>
        <w:pStyle w:val="bullet0"/>
      </w:pPr>
      <w:r w:rsidRPr="00BA4F53">
        <w:rPr>
          <w:u w:val="single"/>
        </w:rPr>
        <w:t>Pre-Phase 1</w:t>
      </w:r>
      <w:r w:rsidRPr="00BA4F53">
        <w:t xml:space="preserve"> (the “AECOM Estimate”) - a </w:t>
      </w:r>
      <w:r w:rsidR="00A2763D" w:rsidRPr="00BA4F53">
        <w:t>consolidation</w:t>
      </w:r>
      <w:r w:rsidRPr="00BA4F53">
        <w:t xml:space="preserve"> of the pre-Phase 1 estimate was provided by AECOM (2011). This document, in turn, consolidated or referenced information from the following supporting estimates:</w:t>
      </w:r>
    </w:p>
    <w:p w:rsidR="00E22F81" w:rsidRPr="00BA4F53" w:rsidRDefault="00E22F81" w:rsidP="0080530C">
      <w:pPr>
        <w:pStyle w:val="bullet21"/>
      </w:pPr>
      <w:r w:rsidRPr="0080530C">
        <w:t>AECOM</w:t>
      </w:r>
      <w:r w:rsidRPr="00BA4F53">
        <w:t xml:space="preserve"> (2010) provided costs for the core elements (largely materials handling scopes) for the various remedial options under consideration at the time;</w:t>
      </w:r>
    </w:p>
    <w:p w:rsidR="00E22F81" w:rsidRPr="00BA4F53" w:rsidRDefault="00E22F81" w:rsidP="0080530C">
      <w:pPr>
        <w:pStyle w:val="bullet21"/>
      </w:pPr>
      <w:proofErr w:type="spellStart"/>
      <w:r w:rsidRPr="00BA4F53">
        <w:t>Altura</w:t>
      </w:r>
      <w:proofErr w:type="spellEnd"/>
      <w:r w:rsidRPr="00BA4F53">
        <w:t xml:space="preserve"> (2010) provided costs for surface reclamation and scope elements that were common to all remedial options;</w:t>
      </w:r>
    </w:p>
    <w:p w:rsidR="00E22F81" w:rsidRPr="00BA4F53" w:rsidRDefault="00E22F81" w:rsidP="0080530C">
      <w:pPr>
        <w:pStyle w:val="bullet21"/>
      </w:pPr>
      <w:proofErr w:type="spellStart"/>
      <w:r w:rsidRPr="00BA4F53">
        <w:t>Golder</w:t>
      </w:r>
      <w:proofErr w:type="spellEnd"/>
      <w:r w:rsidRPr="00BA4F53">
        <w:t xml:space="preserve"> (2010) provided costs for the Open Pit cover;</w:t>
      </w:r>
    </w:p>
    <w:p w:rsidR="00E22F81" w:rsidRPr="00BA4F53" w:rsidRDefault="00E22F81" w:rsidP="0080530C">
      <w:pPr>
        <w:pStyle w:val="bullet21"/>
      </w:pPr>
      <w:r w:rsidRPr="00BA4F53">
        <w:t>AECOM (2009) provided costs for project water treatment requirements;</w:t>
      </w:r>
    </w:p>
    <w:p w:rsidR="00E22F81" w:rsidRDefault="00E22F81" w:rsidP="0080530C">
      <w:pPr>
        <w:pStyle w:val="bullet21"/>
      </w:pPr>
      <w:proofErr w:type="spellStart"/>
      <w:r w:rsidRPr="00BA4F53">
        <w:t>Altura</w:t>
      </w:r>
      <w:proofErr w:type="spellEnd"/>
      <w:r w:rsidRPr="00BA4F53">
        <w:t xml:space="preserve"> (2011) provided costs for water quality mitigation actions that might be required in future (i.e. potential Adaptive Management costs);</w:t>
      </w:r>
    </w:p>
    <w:p w:rsidR="0080530C" w:rsidRPr="00BA4F53" w:rsidRDefault="0080530C" w:rsidP="0080530C">
      <w:pPr>
        <w:pStyle w:val="bullet0"/>
      </w:pPr>
      <w:r w:rsidRPr="00BA4F53">
        <w:rPr>
          <w:u w:val="single"/>
        </w:rPr>
        <w:t>Phase 1</w:t>
      </w:r>
      <w:r w:rsidRPr="00BA4F53">
        <w:t xml:space="preserve"> (the “AMEC Estimate”) - the final Phase 1 estimate is provided by AMEC (2014).</w:t>
      </w:r>
    </w:p>
    <w:p w:rsidR="0080530C" w:rsidRDefault="0080530C" w:rsidP="0080530C">
      <w:pPr>
        <w:pStyle w:val="Heading2"/>
      </w:pPr>
      <w:bookmarkStart w:id="17" w:name="_Toc404336638"/>
      <w:r>
        <w:t>Key Option 4 Tenets and Driving Project Criteria</w:t>
      </w:r>
      <w:bookmarkEnd w:id="17"/>
    </w:p>
    <w:p w:rsidR="0080530C" w:rsidRDefault="0080530C" w:rsidP="0080530C">
      <w:pPr>
        <w:pStyle w:val="BodyText"/>
      </w:pPr>
      <w:r>
        <w:t>In reconciling the AECOM and AMEC estimates, it is useful to consider how remedial Option 4 was defined and interpreted for each.</w:t>
      </w:r>
    </w:p>
    <w:p w:rsidR="0080530C" w:rsidRDefault="0080530C" w:rsidP="0080530C">
      <w:pPr>
        <w:pStyle w:val="Heading3"/>
      </w:pPr>
      <w:bookmarkStart w:id="18" w:name="_Toc404336639"/>
      <w:r>
        <w:lastRenderedPageBreak/>
        <w:t>AECOM</w:t>
      </w:r>
      <w:bookmarkEnd w:id="18"/>
    </w:p>
    <w:p w:rsidR="00FC30E6" w:rsidRDefault="00FC30E6" w:rsidP="0080530C">
      <w:pPr>
        <w:pStyle w:val="BodyText"/>
      </w:pPr>
      <w:r>
        <w:t>The AECOM estimate was based on the statement of Option 4 objectives and scope elements that are provided in Table 2.</w:t>
      </w:r>
      <w:r w:rsidR="00754A29">
        <w:t xml:space="preserve">3.1-1 </w:t>
      </w:r>
      <w:r>
        <w:t>(LORAX, 2011).</w:t>
      </w:r>
    </w:p>
    <w:p w:rsidR="00F928BE" w:rsidRDefault="00F928BE" w:rsidP="0080530C">
      <w:pPr>
        <w:pStyle w:val="BodyText"/>
      </w:pPr>
    </w:p>
    <w:p w:rsidR="00F928BE" w:rsidRDefault="00F928BE" w:rsidP="00F928BE">
      <w:pPr>
        <w:pStyle w:val="Table"/>
      </w:pPr>
      <w:bookmarkStart w:id="19" w:name="_Toc406511628"/>
      <w:r>
        <w:t>Table 2.</w:t>
      </w:r>
      <w:r w:rsidR="00754A29">
        <w:t>3.1-1</w:t>
      </w:r>
      <w:r>
        <w:t>:  Pre-Phase 1 Option 4 Objectives and Scope Elements</w:t>
      </w:r>
      <w:bookmarkEnd w:id="19"/>
    </w:p>
    <w:tbl>
      <w:tblPr>
        <w:tblStyle w:val="TableGrid"/>
        <w:tblW w:w="9625" w:type="dxa"/>
        <w:tblLook w:val="04A0" w:firstRow="1" w:lastRow="0" w:firstColumn="1" w:lastColumn="0" w:noHBand="0" w:noVBand="1"/>
      </w:tblPr>
      <w:tblGrid>
        <w:gridCol w:w="2335"/>
        <w:gridCol w:w="7290"/>
      </w:tblGrid>
      <w:tr w:rsidR="00F928BE" w:rsidRPr="00BF1A77" w:rsidTr="00CE7C7A">
        <w:tc>
          <w:tcPr>
            <w:tcW w:w="9625" w:type="dxa"/>
            <w:gridSpan w:val="2"/>
            <w:vAlign w:val="center"/>
          </w:tcPr>
          <w:p w:rsidR="00F928BE" w:rsidRPr="00BF1A77" w:rsidRDefault="00F928BE" w:rsidP="00CE7C7A">
            <w:pPr>
              <w:pStyle w:val="PlainText"/>
              <w:spacing w:before="40" w:after="40"/>
              <w:jc w:val="center"/>
              <w:rPr>
                <w:rFonts w:asciiTheme="minorHAnsi" w:hAnsiTheme="minorHAnsi" w:cstheme="minorHAnsi"/>
                <w:b/>
                <w:sz w:val="18"/>
                <w:szCs w:val="18"/>
              </w:rPr>
            </w:pPr>
            <w:r w:rsidRPr="00BF1A77">
              <w:rPr>
                <w:rFonts w:asciiTheme="minorHAnsi" w:hAnsiTheme="minorHAnsi" w:cstheme="minorHAnsi"/>
                <w:b/>
                <w:sz w:val="18"/>
                <w:szCs w:val="18"/>
              </w:rPr>
              <w:t>Option 4 Objectives</w:t>
            </w:r>
          </w:p>
        </w:tc>
      </w:tr>
      <w:tr w:rsidR="00F928BE" w:rsidRPr="00BF1A77" w:rsidTr="00CE7C7A">
        <w:tc>
          <w:tcPr>
            <w:tcW w:w="9625" w:type="dxa"/>
            <w:gridSpan w:val="2"/>
          </w:tcPr>
          <w:p w:rsidR="00F928BE" w:rsidRPr="00BF1A77" w:rsidRDefault="00F928BE" w:rsidP="00CE7C7A">
            <w:pPr>
              <w:pStyle w:val="PlainText"/>
              <w:spacing w:before="30" w:after="30"/>
              <w:ind w:left="360" w:hanging="360"/>
              <w:jc w:val="left"/>
              <w:rPr>
                <w:rFonts w:asciiTheme="minorHAnsi" w:hAnsiTheme="minorHAnsi" w:cstheme="minorHAnsi"/>
                <w:sz w:val="18"/>
                <w:szCs w:val="18"/>
              </w:rPr>
            </w:pPr>
            <w:r w:rsidRPr="00BF1A77">
              <w:rPr>
                <w:rFonts w:asciiTheme="minorHAnsi" w:hAnsiTheme="minorHAnsi" w:cstheme="minorHAnsi"/>
                <w:sz w:val="18"/>
                <w:szCs w:val="18"/>
              </w:rPr>
              <w:t>1)</w:t>
            </w:r>
            <w:r w:rsidRPr="00BF1A77">
              <w:rPr>
                <w:rFonts w:asciiTheme="minorHAnsi" w:hAnsiTheme="minorHAnsi" w:cstheme="minorHAnsi"/>
                <w:sz w:val="18"/>
                <w:szCs w:val="18"/>
              </w:rPr>
              <w:tab/>
              <w:t>Remove the geotechnical liability associated with maintaining a tailings dam in the Dome Creek Valley;</w:t>
            </w:r>
          </w:p>
        </w:tc>
      </w:tr>
      <w:tr w:rsidR="00F928BE" w:rsidRPr="00BF1A77" w:rsidTr="00CE7C7A">
        <w:tc>
          <w:tcPr>
            <w:tcW w:w="9625" w:type="dxa"/>
            <w:gridSpan w:val="2"/>
          </w:tcPr>
          <w:p w:rsidR="00F928BE" w:rsidRPr="00BF1A77" w:rsidRDefault="00F928BE" w:rsidP="00CE7C7A">
            <w:pPr>
              <w:pStyle w:val="PlainText"/>
              <w:spacing w:before="30" w:after="30"/>
              <w:ind w:left="360" w:hanging="360"/>
              <w:jc w:val="left"/>
              <w:rPr>
                <w:rFonts w:asciiTheme="minorHAnsi" w:hAnsiTheme="minorHAnsi" w:cstheme="minorHAnsi"/>
                <w:sz w:val="18"/>
                <w:szCs w:val="18"/>
              </w:rPr>
            </w:pPr>
            <w:r w:rsidRPr="00BF1A77">
              <w:rPr>
                <w:rFonts w:asciiTheme="minorHAnsi" w:hAnsiTheme="minorHAnsi" w:cstheme="minorHAnsi"/>
                <w:sz w:val="18"/>
                <w:szCs w:val="18"/>
              </w:rPr>
              <w:t>2)</w:t>
            </w:r>
            <w:r w:rsidRPr="00BF1A77">
              <w:rPr>
                <w:rFonts w:asciiTheme="minorHAnsi" w:hAnsiTheme="minorHAnsi" w:cstheme="minorHAnsi"/>
                <w:sz w:val="18"/>
                <w:szCs w:val="18"/>
              </w:rPr>
              <w:tab/>
              <w:t xml:space="preserve">Restore the Dome Creek valley in the area of the </w:t>
            </w:r>
            <w:proofErr w:type="spellStart"/>
            <w:r w:rsidRPr="00BF1A77">
              <w:rPr>
                <w:rFonts w:asciiTheme="minorHAnsi" w:hAnsiTheme="minorHAnsi" w:cstheme="minorHAnsi"/>
                <w:sz w:val="18"/>
                <w:szCs w:val="18"/>
              </w:rPr>
              <w:t>TSF</w:t>
            </w:r>
            <w:proofErr w:type="spellEnd"/>
            <w:r w:rsidRPr="00BF1A77">
              <w:rPr>
                <w:rFonts w:asciiTheme="minorHAnsi" w:hAnsiTheme="minorHAnsi" w:cstheme="minorHAnsi"/>
                <w:sz w:val="18"/>
                <w:szCs w:val="18"/>
              </w:rPr>
              <w:t xml:space="preserve"> to a more natural condition compatible with the original land use;</w:t>
            </w:r>
          </w:p>
        </w:tc>
      </w:tr>
      <w:tr w:rsidR="00F928BE" w:rsidRPr="00BF1A77" w:rsidTr="00CE7C7A">
        <w:tc>
          <w:tcPr>
            <w:tcW w:w="9625" w:type="dxa"/>
            <w:gridSpan w:val="2"/>
          </w:tcPr>
          <w:p w:rsidR="00F928BE" w:rsidRPr="00BF1A77" w:rsidRDefault="00F928BE" w:rsidP="00CE7C7A">
            <w:pPr>
              <w:pStyle w:val="PlainText"/>
              <w:spacing w:before="30" w:after="30"/>
              <w:ind w:left="360" w:hanging="360"/>
              <w:jc w:val="left"/>
              <w:rPr>
                <w:rFonts w:asciiTheme="minorHAnsi" w:hAnsiTheme="minorHAnsi" w:cstheme="minorHAnsi"/>
                <w:sz w:val="18"/>
                <w:szCs w:val="18"/>
              </w:rPr>
            </w:pPr>
            <w:r w:rsidRPr="00BF1A77">
              <w:rPr>
                <w:rFonts w:asciiTheme="minorHAnsi" w:hAnsiTheme="minorHAnsi" w:cstheme="minorHAnsi"/>
                <w:sz w:val="18"/>
                <w:szCs w:val="18"/>
              </w:rPr>
              <w:t>3)</w:t>
            </w:r>
            <w:r w:rsidRPr="00BF1A77">
              <w:rPr>
                <w:rFonts w:asciiTheme="minorHAnsi" w:hAnsiTheme="minorHAnsi" w:cstheme="minorHAnsi"/>
                <w:sz w:val="18"/>
                <w:szCs w:val="18"/>
              </w:rPr>
              <w:tab/>
              <w:t>Minimize the potential for tailings oxidation and ML/</w:t>
            </w:r>
            <w:proofErr w:type="spellStart"/>
            <w:r w:rsidRPr="00BF1A77">
              <w:rPr>
                <w:rFonts w:asciiTheme="minorHAnsi" w:hAnsiTheme="minorHAnsi" w:cstheme="minorHAnsi"/>
                <w:sz w:val="18"/>
                <w:szCs w:val="18"/>
              </w:rPr>
              <w:t>ARD</w:t>
            </w:r>
            <w:proofErr w:type="spellEnd"/>
            <w:r w:rsidRPr="00BF1A77">
              <w:rPr>
                <w:rFonts w:asciiTheme="minorHAnsi" w:hAnsiTheme="minorHAnsi" w:cstheme="minorHAnsi"/>
                <w:sz w:val="18"/>
                <w:szCs w:val="18"/>
              </w:rPr>
              <w:t xml:space="preserve"> through the maintenance of dry conditions within the tailings deposits (minimize infiltration); and</w:t>
            </w:r>
          </w:p>
        </w:tc>
      </w:tr>
      <w:tr w:rsidR="00F928BE" w:rsidRPr="00BF1A77" w:rsidTr="00CE7C7A">
        <w:tc>
          <w:tcPr>
            <w:tcW w:w="9625" w:type="dxa"/>
            <w:gridSpan w:val="2"/>
          </w:tcPr>
          <w:p w:rsidR="00F928BE" w:rsidRPr="00BF1A77" w:rsidRDefault="0026235C" w:rsidP="0026235C">
            <w:pPr>
              <w:pStyle w:val="PlainText"/>
              <w:spacing w:before="30" w:after="30"/>
              <w:ind w:left="360" w:hanging="360"/>
              <w:jc w:val="left"/>
              <w:rPr>
                <w:rFonts w:asciiTheme="minorHAnsi" w:hAnsiTheme="minorHAnsi" w:cstheme="minorHAnsi"/>
                <w:sz w:val="18"/>
                <w:szCs w:val="18"/>
              </w:rPr>
            </w:pPr>
            <w:r>
              <w:rPr>
                <w:rFonts w:asciiTheme="minorHAnsi" w:hAnsiTheme="minorHAnsi" w:cstheme="minorHAnsi"/>
                <w:sz w:val="18"/>
                <w:szCs w:val="18"/>
              </w:rPr>
              <w:t>4)</w:t>
            </w:r>
            <w:r>
              <w:rPr>
                <w:rFonts w:asciiTheme="minorHAnsi" w:hAnsiTheme="minorHAnsi" w:cstheme="minorHAnsi"/>
                <w:sz w:val="18"/>
                <w:szCs w:val="18"/>
              </w:rPr>
              <w:tab/>
            </w:r>
            <w:r w:rsidR="00F928BE" w:rsidRPr="00BF1A77">
              <w:rPr>
                <w:rFonts w:asciiTheme="minorHAnsi" w:hAnsiTheme="minorHAnsi" w:cstheme="minorHAnsi"/>
                <w:sz w:val="18"/>
                <w:szCs w:val="18"/>
              </w:rPr>
              <w:t>Restore area of open pit to a condition more compatible with the original land use via tailings and waste rock backfill.</w:t>
            </w:r>
          </w:p>
        </w:tc>
      </w:tr>
      <w:tr w:rsidR="00F928BE" w:rsidRPr="00BF1A77" w:rsidTr="00CE7C7A">
        <w:tc>
          <w:tcPr>
            <w:tcW w:w="9625" w:type="dxa"/>
            <w:gridSpan w:val="2"/>
            <w:vAlign w:val="center"/>
          </w:tcPr>
          <w:p w:rsidR="00F928BE" w:rsidRPr="00BF1A77" w:rsidRDefault="00F928BE" w:rsidP="00CE7C7A">
            <w:pPr>
              <w:pStyle w:val="PlainText"/>
              <w:spacing w:before="40" w:after="40"/>
              <w:jc w:val="center"/>
              <w:rPr>
                <w:rFonts w:asciiTheme="minorHAnsi" w:hAnsiTheme="minorHAnsi" w:cstheme="minorHAnsi"/>
                <w:b/>
                <w:sz w:val="18"/>
                <w:szCs w:val="18"/>
              </w:rPr>
            </w:pPr>
            <w:r w:rsidRPr="00BF1A77">
              <w:rPr>
                <w:rFonts w:asciiTheme="minorHAnsi" w:hAnsiTheme="minorHAnsi" w:cstheme="minorHAnsi"/>
                <w:b/>
                <w:sz w:val="18"/>
                <w:szCs w:val="18"/>
              </w:rPr>
              <w:t>Option 4 Scope Elements</w:t>
            </w:r>
          </w:p>
        </w:tc>
      </w:tr>
      <w:tr w:rsidR="00F928BE" w:rsidRPr="00BF1A77" w:rsidTr="00CE7C7A">
        <w:tc>
          <w:tcPr>
            <w:tcW w:w="2335" w:type="dxa"/>
            <w:vAlign w:val="center"/>
          </w:tcPr>
          <w:p w:rsidR="00F928BE" w:rsidRPr="00BF1A77" w:rsidRDefault="00F928BE" w:rsidP="00CE7C7A">
            <w:pPr>
              <w:pStyle w:val="PlainText"/>
              <w:spacing w:before="40" w:after="40"/>
              <w:jc w:val="center"/>
              <w:rPr>
                <w:rFonts w:asciiTheme="minorHAnsi" w:hAnsiTheme="minorHAnsi" w:cstheme="minorHAnsi"/>
                <w:b/>
                <w:sz w:val="18"/>
                <w:szCs w:val="18"/>
              </w:rPr>
            </w:pPr>
            <w:r w:rsidRPr="00BF1A77">
              <w:rPr>
                <w:rFonts w:asciiTheme="minorHAnsi" w:hAnsiTheme="minorHAnsi" w:cstheme="minorHAnsi"/>
                <w:b/>
                <w:sz w:val="18"/>
                <w:szCs w:val="18"/>
              </w:rPr>
              <w:t>Closure Element</w:t>
            </w:r>
          </w:p>
        </w:tc>
        <w:tc>
          <w:tcPr>
            <w:tcW w:w="7290" w:type="dxa"/>
            <w:vAlign w:val="center"/>
          </w:tcPr>
          <w:p w:rsidR="00F928BE" w:rsidRPr="00BF1A77" w:rsidRDefault="00F928BE" w:rsidP="00CE7C7A">
            <w:pPr>
              <w:pStyle w:val="PlainText"/>
              <w:spacing w:before="40" w:after="40"/>
              <w:jc w:val="center"/>
              <w:rPr>
                <w:rFonts w:asciiTheme="minorHAnsi" w:hAnsiTheme="minorHAnsi" w:cstheme="minorHAnsi"/>
                <w:b/>
                <w:sz w:val="18"/>
                <w:szCs w:val="18"/>
              </w:rPr>
            </w:pPr>
            <w:r w:rsidRPr="00BF1A77">
              <w:rPr>
                <w:rFonts w:asciiTheme="minorHAnsi" w:hAnsiTheme="minorHAnsi" w:cstheme="minorHAnsi"/>
                <w:b/>
                <w:sz w:val="18"/>
                <w:szCs w:val="18"/>
              </w:rPr>
              <w:t>Description</w:t>
            </w:r>
          </w:p>
        </w:tc>
      </w:tr>
      <w:tr w:rsidR="00F928BE" w:rsidRPr="00BF1A77" w:rsidTr="00CE7C7A">
        <w:tc>
          <w:tcPr>
            <w:tcW w:w="2335"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Tailings and Pit</w:t>
            </w:r>
          </w:p>
        </w:tc>
        <w:tc>
          <w:tcPr>
            <w:tcW w:w="7290"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 xml:space="preserve">Relocation of approximately 300,000 </w:t>
            </w:r>
            <w:proofErr w:type="spellStart"/>
            <w:r w:rsidRPr="00BF1A77">
              <w:rPr>
                <w:rFonts w:asciiTheme="minorHAnsi" w:hAnsiTheme="minorHAnsi" w:cstheme="minorHAnsi"/>
                <w:sz w:val="18"/>
                <w:szCs w:val="18"/>
              </w:rPr>
              <w:t>m</w:t>
            </w:r>
            <w:r w:rsidRPr="00BF1A77">
              <w:rPr>
                <w:rFonts w:asciiTheme="minorHAnsi" w:hAnsiTheme="minorHAnsi" w:cstheme="minorHAnsi"/>
                <w:sz w:val="18"/>
                <w:szCs w:val="18"/>
                <w:vertAlign w:val="superscript"/>
              </w:rPr>
              <w:t>3</w:t>
            </w:r>
            <w:proofErr w:type="spellEnd"/>
            <w:r w:rsidRPr="00BF1A77">
              <w:rPr>
                <w:rFonts w:asciiTheme="minorHAnsi" w:hAnsiTheme="minorHAnsi" w:cstheme="minorHAnsi"/>
                <w:sz w:val="18"/>
                <w:szCs w:val="18"/>
              </w:rPr>
              <w:t xml:space="preserve"> of tailings and contaminated soil to the open pit. Tailings will be stored in a dry condition to the extent possible through storage of tailings above the water table and placement of a synthetic cover designed to minimize infiltration. The cover will also serve to physically stabilize the tailings to prevent water/wind erosion.</w:t>
            </w:r>
          </w:p>
        </w:tc>
      </w:tr>
      <w:tr w:rsidR="00F928BE" w:rsidRPr="00BF1A77" w:rsidTr="00CE7C7A">
        <w:tc>
          <w:tcPr>
            <w:tcW w:w="2335"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In-Pit Dam</w:t>
            </w:r>
          </w:p>
        </w:tc>
        <w:tc>
          <w:tcPr>
            <w:tcW w:w="7290"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Preliminary assessment indicates that an in-pit dam structure will not be required.</w:t>
            </w:r>
          </w:p>
        </w:tc>
      </w:tr>
      <w:tr w:rsidR="00F928BE" w:rsidRPr="00BF1A77" w:rsidTr="00CE7C7A">
        <w:tc>
          <w:tcPr>
            <w:tcW w:w="2335"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Waste Rock</w:t>
            </w:r>
          </w:p>
        </w:tc>
        <w:tc>
          <w:tcPr>
            <w:tcW w:w="7290"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 xml:space="preserve">Relocation of ~344,000 </w:t>
            </w:r>
            <w:proofErr w:type="spellStart"/>
            <w:r w:rsidRPr="00BF1A77">
              <w:rPr>
                <w:rFonts w:asciiTheme="minorHAnsi" w:hAnsiTheme="minorHAnsi" w:cstheme="minorHAnsi"/>
                <w:sz w:val="18"/>
                <w:szCs w:val="18"/>
              </w:rPr>
              <w:t>m</w:t>
            </w:r>
            <w:r w:rsidRPr="00BF1A77">
              <w:rPr>
                <w:rFonts w:asciiTheme="minorHAnsi" w:hAnsiTheme="minorHAnsi" w:cstheme="minorHAnsi"/>
                <w:sz w:val="18"/>
                <w:szCs w:val="18"/>
                <w:vertAlign w:val="superscript"/>
              </w:rPr>
              <w:t>3</w:t>
            </w:r>
            <w:proofErr w:type="spellEnd"/>
            <w:r w:rsidRPr="00BF1A77">
              <w:rPr>
                <w:rFonts w:asciiTheme="minorHAnsi" w:hAnsiTheme="minorHAnsi" w:cstheme="minorHAnsi"/>
                <w:sz w:val="18"/>
                <w:szCs w:val="18"/>
              </w:rPr>
              <w:t xml:space="preserve"> of waste rock to open pit. Approximately 156,000 </w:t>
            </w:r>
            <w:proofErr w:type="spellStart"/>
            <w:r w:rsidRPr="00BF1A77">
              <w:rPr>
                <w:rFonts w:asciiTheme="minorHAnsi" w:hAnsiTheme="minorHAnsi" w:cstheme="minorHAnsi"/>
                <w:sz w:val="18"/>
                <w:szCs w:val="18"/>
              </w:rPr>
              <w:t>m</w:t>
            </w:r>
            <w:r w:rsidRPr="00BF1A77">
              <w:rPr>
                <w:rFonts w:asciiTheme="minorHAnsi" w:hAnsiTheme="minorHAnsi" w:cstheme="minorHAnsi"/>
                <w:sz w:val="18"/>
                <w:szCs w:val="18"/>
                <w:vertAlign w:val="superscript"/>
              </w:rPr>
              <w:t>3</w:t>
            </w:r>
            <w:proofErr w:type="spellEnd"/>
            <w:r w:rsidRPr="00BF1A77">
              <w:rPr>
                <w:rFonts w:asciiTheme="minorHAnsi" w:hAnsiTheme="minorHAnsi" w:cstheme="minorHAnsi"/>
                <w:sz w:val="18"/>
                <w:szCs w:val="18"/>
              </w:rPr>
              <w:t xml:space="preserve"> of waste rock will be left in place and </w:t>
            </w:r>
            <w:proofErr w:type="spellStart"/>
            <w:r w:rsidRPr="00BF1A77">
              <w:rPr>
                <w:rFonts w:asciiTheme="minorHAnsi" w:hAnsiTheme="minorHAnsi" w:cstheme="minorHAnsi"/>
                <w:sz w:val="18"/>
                <w:szCs w:val="18"/>
              </w:rPr>
              <w:t>regraded</w:t>
            </w:r>
            <w:proofErr w:type="spellEnd"/>
            <w:r w:rsidRPr="00BF1A77">
              <w:rPr>
                <w:rFonts w:asciiTheme="minorHAnsi" w:hAnsiTheme="minorHAnsi" w:cstheme="minorHAnsi"/>
                <w:sz w:val="18"/>
                <w:szCs w:val="18"/>
              </w:rPr>
              <w:t xml:space="preserve"> and </w:t>
            </w:r>
            <w:proofErr w:type="spellStart"/>
            <w:r w:rsidRPr="00BF1A77">
              <w:rPr>
                <w:rFonts w:asciiTheme="minorHAnsi" w:hAnsiTheme="minorHAnsi" w:cstheme="minorHAnsi"/>
                <w:sz w:val="18"/>
                <w:szCs w:val="18"/>
              </w:rPr>
              <w:t>revegetated</w:t>
            </w:r>
            <w:proofErr w:type="spellEnd"/>
            <w:r w:rsidRPr="00BF1A77">
              <w:rPr>
                <w:rFonts w:asciiTheme="minorHAnsi" w:hAnsiTheme="minorHAnsi" w:cstheme="minorHAnsi"/>
                <w:sz w:val="18"/>
                <w:szCs w:val="18"/>
              </w:rPr>
              <w:t xml:space="preserve"> as necessary.</w:t>
            </w:r>
          </w:p>
        </w:tc>
      </w:tr>
      <w:tr w:rsidR="00F928BE" w:rsidRPr="00BF1A77" w:rsidTr="00CE7C7A">
        <w:tc>
          <w:tcPr>
            <w:tcW w:w="2335"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Tailings and Storage Facility</w:t>
            </w:r>
          </w:p>
        </w:tc>
        <w:tc>
          <w:tcPr>
            <w:tcW w:w="7290"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 xml:space="preserve">Relocation of tailings will allow restoration of the Dome Creek valley in the area of the </w:t>
            </w:r>
            <w:proofErr w:type="spellStart"/>
            <w:r w:rsidRPr="00BF1A77">
              <w:rPr>
                <w:rFonts w:asciiTheme="minorHAnsi" w:hAnsiTheme="minorHAnsi" w:cstheme="minorHAnsi"/>
                <w:sz w:val="18"/>
                <w:szCs w:val="18"/>
              </w:rPr>
              <w:t>TSF</w:t>
            </w:r>
            <w:proofErr w:type="spellEnd"/>
            <w:r w:rsidRPr="00BF1A77">
              <w:rPr>
                <w:rFonts w:asciiTheme="minorHAnsi" w:hAnsiTheme="minorHAnsi" w:cstheme="minorHAnsi"/>
                <w:sz w:val="18"/>
                <w:szCs w:val="18"/>
              </w:rPr>
              <w:t xml:space="preserve"> to a condition compatible with the original land use.</w:t>
            </w:r>
          </w:p>
        </w:tc>
      </w:tr>
      <w:tr w:rsidR="00F928BE" w:rsidRPr="00BF1A77" w:rsidTr="00CE7C7A">
        <w:tc>
          <w:tcPr>
            <w:tcW w:w="2335"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 xml:space="preserve">Pony Creek </w:t>
            </w:r>
            <w:proofErr w:type="spellStart"/>
            <w:r w:rsidRPr="00BF1A77">
              <w:rPr>
                <w:rFonts w:asciiTheme="minorHAnsi" w:hAnsiTheme="minorHAnsi" w:cstheme="minorHAnsi"/>
                <w:sz w:val="18"/>
                <w:szCs w:val="18"/>
              </w:rPr>
              <w:t>Adit</w:t>
            </w:r>
            <w:proofErr w:type="spellEnd"/>
          </w:p>
        </w:tc>
        <w:tc>
          <w:tcPr>
            <w:tcW w:w="7290" w:type="dxa"/>
          </w:tcPr>
          <w:p w:rsidR="00F928BE" w:rsidRPr="00BF1A77" w:rsidRDefault="00F928BE" w:rsidP="00CE7C7A">
            <w:pPr>
              <w:pStyle w:val="PlainText"/>
              <w:spacing w:before="30" w:after="30"/>
              <w:jc w:val="left"/>
              <w:rPr>
                <w:rFonts w:asciiTheme="minorHAnsi" w:hAnsiTheme="minorHAnsi" w:cstheme="minorHAnsi"/>
                <w:sz w:val="18"/>
                <w:szCs w:val="18"/>
              </w:rPr>
            </w:pPr>
            <w:r w:rsidRPr="00BF1A77">
              <w:rPr>
                <w:rFonts w:asciiTheme="minorHAnsi" w:hAnsiTheme="minorHAnsi" w:cstheme="minorHAnsi"/>
                <w:sz w:val="18"/>
                <w:szCs w:val="18"/>
              </w:rPr>
              <w:t xml:space="preserve">Additional measures may be required to provide a more effective seal of the </w:t>
            </w:r>
            <w:proofErr w:type="spellStart"/>
            <w:r w:rsidRPr="00BF1A77">
              <w:rPr>
                <w:rFonts w:asciiTheme="minorHAnsi" w:hAnsiTheme="minorHAnsi" w:cstheme="minorHAnsi"/>
                <w:sz w:val="18"/>
                <w:szCs w:val="18"/>
              </w:rPr>
              <w:t>adit</w:t>
            </w:r>
            <w:proofErr w:type="spellEnd"/>
            <w:r w:rsidRPr="00BF1A77">
              <w:rPr>
                <w:rFonts w:asciiTheme="minorHAnsi" w:hAnsiTheme="minorHAnsi" w:cstheme="minorHAnsi"/>
                <w:sz w:val="18"/>
                <w:szCs w:val="18"/>
              </w:rPr>
              <w:t xml:space="preserve"> to minimize the hydraulic connection between the pit and Pony Creek.</w:t>
            </w:r>
          </w:p>
        </w:tc>
      </w:tr>
    </w:tbl>
    <w:p w:rsidR="00F928BE" w:rsidRDefault="00F928BE" w:rsidP="00F928BE">
      <w:pPr>
        <w:pStyle w:val="bullet21"/>
        <w:numPr>
          <w:ilvl w:val="0"/>
          <w:numId w:val="0"/>
        </w:numPr>
      </w:pPr>
    </w:p>
    <w:p w:rsidR="00FC30E6" w:rsidRDefault="0080530C" w:rsidP="0080530C">
      <w:pPr>
        <w:pStyle w:val="Heading3"/>
      </w:pPr>
      <w:bookmarkStart w:id="20" w:name="_Toc404336640"/>
      <w:r>
        <w:t>AMEC</w:t>
      </w:r>
      <w:bookmarkEnd w:id="20"/>
    </w:p>
    <w:p w:rsidR="0080530C" w:rsidRDefault="0080530C" w:rsidP="0080530C">
      <w:pPr>
        <w:pStyle w:val="BodyText"/>
      </w:pPr>
      <w:r>
        <w:t>For the AMEC estimate, the key tenets of Option 4 were summarized as follows:</w:t>
      </w:r>
    </w:p>
    <w:p w:rsidR="0080530C" w:rsidRPr="00BA4F53" w:rsidRDefault="0080530C" w:rsidP="0080530C">
      <w:pPr>
        <w:pStyle w:val="bullet0"/>
      </w:pPr>
      <w:r w:rsidRPr="00BA4F53">
        <w:t>Tailings relocation and dam decommissioning</w:t>
      </w:r>
      <w:r w:rsidR="0026235C">
        <w:t xml:space="preserve"> followed by restoration of the Dome Creek valley</w:t>
      </w:r>
      <w:r w:rsidRPr="00BA4F53">
        <w:t>;</w:t>
      </w:r>
    </w:p>
    <w:p w:rsidR="0080530C" w:rsidRPr="00BA4F53" w:rsidRDefault="0080530C" w:rsidP="0080530C">
      <w:pPr>
        <w:pStyle w:val="bullet0"/>
      </w:pPr>
      <w:r w:rsidRPr="00BA4F53">
        <w:t>Placement of “low moisture” tailings;</w:t>
      </w:r>
    </w:p>
    <w:p w:rsidR="0080530C" w:rsidRPr="00BA4F53" w:rsidRDefault="0080530C" w:rsidP="0080530C">
      <w:pPr>
        <w:pStyle w:val="bullet0"/>
      </w:pPr>
      <w:r w:rsidRPr="00BA4F53">
        <w:t>Maintenance of tailings above the water table;</w:t>
      </w:r>
    </w:p>
    <w:p w:rsidR="0080530C" w:rsidRPr="00BA4F53" w:rsidRDefault="0080530C" w:rsidP="0080530C">
      <w:pPr>
        <w:pStyle w:val="bullet0"/>
      </w:pPr>
      <w:r w:rsidRPr="00BA4F53">
        <w:t xml:space="preserve">Provision of stable and useable backfilled pit surfaces over reasonable timeframes (i.e. without creating practically indefinite </w:t>
      </w:r>
      <w:r>
        <w:t>restrictions</w:t>
      </w:r>
      <w:r w:rsidRPr="00BA4F53">
        <w:t xml:space="preserve"> on land use); and</w:t>
      </w:r>
    </w:p>
    <w:p w:rsidR="0080530C" w:rsidRPr="00BA4F53" w:rsidRDefault="0080530C" w:rsidP="0080530C">
      <w:pPr>
        <w:pStyle w:val="bullet0"/>
      </w:pPr>
      <w:r w:rsidRPr="00BA4F53">
        <w:t>Maintenance of downstream surface water quality within recognized regulatory standards.</w:t>
      </w:r>
    </w:p>
    <w:p w:rsidR="0080530C" w:rsidRDefault="007E7379" w:rsidP="0080530C">
      <w:pPr>
        <w:pStyle w:val="BodyText"/>
      </w:pPr>
      <w:r>
        <w:t xml:space="preserve">These tenets are of necessity fairly broad and required interpretations by the AMEC design team </w:t>
      </w:r>
      <w:r w:rsidR="0026235C">
        <w:t>for translation</w:t>
      </w:r>
      <w:r>
        <w:t xml:space="preserve"> into a specific Design Base Case for which an execution schedule and cost estimate could be developed. To facilitate this translation, AMEC applied the following “Driving Project Criteria” which interpret the key project tenets in ways that can be connected to the anticipated performance of specific execution plans and methods:</w:t>
      </w:r>
    </w:p>
    <w:p w:rsidR="001131C7" w:rsidRDefault="007E7379" w:rsidP="007E7379">
      <w:pPr>
        <w:pStyle w:val="bullet0"/>
      </w:pPr>
      <w:r>
        <w:rPr>
          <w:u w:val="single"/>
        </w:rPr>
        <w:lastRenderedPageBreak/>
        <w:t>The “Stab</w:t>
      </w:r>
      <w:r w:rsidR="001131C7">
        <w:rPr>
          <w:u w:val="single"/>
        </w:rPr>
        <w:t>le Surfaces Criterion</w:t>
      </w:r>
      <w:r>
        <w:rPr>
          <w:u w:val="single"/>
        </w:rPr>
        <w:t>”</w:t>
      </w:r>
      <w:r>
        <w:t xml:space="preserve"> - refers to the provision of stable and useable backfilled pit surfaces over reasonable time</w:t>
      </w:r>
      <w:r w:rsidR="0026235C">
        <w:t>line</w:t>
      </w:r>
      <w:r>
        <w:t xml:space="preserve">s. The performance of the pit cover ultimately depends on complex and </w:t>
      </w:r>
      <w:r w:rsidR="0026235C">
        <w:t>largely</w:t>
      </w:r>
      <w:r>
        <w:t xml:space="preserve"> unpredictable interactions between and amongst a number of key design elements (e.g. the moisture content of tails (which, in turn, is influenced by the required/</w:t>
      </w:r>
      <w:r w:rsidR="0026235C">
        <w:t xml:space="preserve"> </w:t>
      </w:r>
      <w:r>
        <w:t xml:space="preserve">desired removal method), the methods of placement, the degree of mixing with waste rock, pit groundwater conditions and the physical configuration of the pit). Meeting the stable surfaces criterion by attempting reliable, quantitative predictions of these interactions would be difficult, costly and probably counterproductive (e.g. it </w:t>
      </w:r>
      <w:r w:rsidR="00784F1E">
        <w:t>cannot</w:t>
      </w:r>
      <w:r>
        <w:t xml:space="preserve"> be done without defining specific tailings removal methods which would then counterproductively constrain the procurement process; i.e. </w:t>
      </w:r>
      <w:r w:rsidR="00784F1E">
        <w:t>contractors</w:t>
      </w:r>
      <w:r>
        <w:t xml:space="preserve"> could not bring forward potentially better approaches). The approach AMEC took to this criterion was to apply </w:t>
      </w:r>
      <w:r w:rsidR="00784F1E">
        <w:t>professional</w:t>
      </w:r>
      <w:r>
        <w:t xml:space="preserve"> judgement to the definition of an integrated execution method that was considered likely to meet the need for a stable pit surface, without defining the specific quantitative performance outcomes for each of the </w:t>
      </w:r>
      <w:r w:rsidR="001131C7">
        <w:t>relevant design media (e.g. tails moisture, tails compaction specification). In effect, the method has been defined and fixed, and the performance outcomes have not, except that those outcomes are expected to fall within acceptable limits.</w:t>
      </w:r>
    </w:p>
    <w:p w:rsidR="007E7379" w:rsidRDefault="001131C7" w:rsidP="007E7379">
      <w:pPr>
        <w:pStyle w:val="bullet0"/>
      </w:pPr>
      <w:r>
        <w:rPr>
          <w:u w:val="single"/>
        </w:rPr>
        <w:t>The “Water Quality Criterion”</w:t>
      </w:r>
      <w:r>
        <w:t xml:space="preserve"> - refers to the maintenance of downstream surface water quality within recognized regulatory standards. This is a critical project outcome and some of the key Option 4 tenets (specifically the placement of low moisture tailings and the maintenance of tailings above the water table) are really intended as a means to this end, and are not, in and of themselves, independent performance requirements. Indeed, for a great many design decisions/</w:t>
      </w:r>
      <w:r w:rsidR="00644469">
        <w:t xml:space="preserve"> </w:t>
      </w:r>
      <w:r>
        <w:t xml:space="preserve">elements (e.g. </w:t>
      </w:r>
      <w:r w:rsidR="0026235C">
        <w:t>the</w:t>
      </w:r>
      <w:r>
        <w:t xml:space="preserve"> kinds of</w:t>
      </w:r>
      <w:r w:rsidR="0026235C">
        <w:t>,</w:t>
      </w:r>
      <w:r>
        <w:t xml:space="preserve"> and how much, waste rock must go </w:t>
      </w:r>
      <w:r w:rsidR="0026235C">
        <w:t>in</w:t>
      </w:r>
      <w:r>
        <w:t xml:space="preserve">to the pit), there are a variety of potential </w:t>
      </w:r>
      <w:r w:rsidR="0026235C">
        <w:t>selections</w:t>
      </w:r>
      <w:r>
        <w:t xml:space="preserve"> that are ultimately determined by their influence on downstream surface water quality. </w:t>
      </w:r>
      <w:r w:rsidR="0026235C">
        <w:t>A</w:t>
      </w:r>
      <w:r>
        <w:t>gain, reliably predicting how all of these design decisions interact to produce a particular water quality is extraordinarily complex and indeed may simply not be possible. This leads</w:t>
      </w:r>
      <w:r w:rsidR="0026235C">
        <w:t xml:space="preserve"> </w:t>
      </w:r>
      <w:r>
        <w:t>to the reliance on professional judgement to define approaches that are likely (but not certain) to be successful and the development of robust (and potentially costly) Adaptive Management measures to mitigate intolerable uncertainties.</w:t>
      </w:r>
    </w:p>
    <w:p w:rsidR="001131C7" w:rsidRDefault="001131C7" w:rsidP="007E7379">
      <w:pPr>
        <w:pStyle w:val="bullet0"/>
      </w:pPr>
      <w:r>
        <w:rPr>
          <w:u w:val="single"/>
        </w:rPr>
        <w:t>The “Proven Methods Criterion”</w:t>
      </w:r>
      <w:r>
        <w:t xml:space="preserve"> - refers to the application of methods that are known, or are judged likely, to be feasible at Mount Nansen. </w:t>
      </w:r>
      <w:r w:rsidR="0026235C">
        <w:t>In short</w:t>
      </w:r>
      <w:r>
        <w:t xml:space="preserve">, this means that we need to be confident that the combination of methods and equipment </w:t>
      </w:r>
      <w:r w:rsidR="00784F1E">
        <w:t>proposed</w:t>
      </w:r>
      <w:r>
        <w:t xml:space="preserve"> in the Base Case will work. Again, this determination relies on professional judgement and is limited by the experience of the design team. It is entirely possible that a broader group of experienced and capable contractors, whose business r</w:t>
      </w:r>
      <w:r w:rsidR="0026235C">
        <w:t>elies on the development of ever</w:t>
      </w:r>
      <w:r>
        <w:t xml:space="preserve"> more competitively cost effective methods, could propose more efficient processes during the procurement process.</w:t>
      </w:r>
    </w:p>
    <w:p w:rsidR="001131C7" w:rsidRDefault="001131C7" w:rsidP="007E7379">
      <w:pPr>
        <w:pStyle w:val="bullet0"/>
      </w:pPr>
      <w:r>
        <w:rPr>
          <w:u w:val="single"/>
        </w:rPr>
        <w:t>The “Pit Volume Criterion”</w:t>
      </w:r>
      <w:r>
        <w:t xml:space="preserve"> - refers to the maintenance of materials directed to the pit containment structure within the physical constraints and/or boundaries that apply to the site. This criterion acknowledges that there are physical constraints to the lands available for pit containment that the project has no control over and that therefore become physical boundary conditions for the design (e.g. the public access road to the north which must not be disturbed by the works).</w:t>
      </w:r>
    </w:p>
    <w:p w:rsidR="001131C7" w:rsidRDefault="001131C7" w:rsidP="007E7379">
      <w:pPr>
        <w:pStyle w:val="bullet0"/>
      </w:pPr>
      <w:r>
        <w:rPr>
          <w:u w:val="single"/>
        </w:rPr>
        <w:lastRenderedPageBreak/>
        <w:t>The “Safety Criterion</w:t>
      </w:r>
      <w:r w:rsidR="007E5DE5">
        <w:rPr>
          <w:u w:val="single"/>
        </w:rPr>
        <w:t>”</w:t>
      </w:r>
      <w:r w:rsidR="007E5DE5">
        <w:t xml:space="preserve"> - refers to the application of methods consistent with recognized standards of construction health and safety. This criterion acknowledges that it has to be possible to execute the proposed plan safely. This may be self-evident, but could have a significant influence on the detailed development of specific methods for key scope areas (it is part of the reason for proposing </w:t>
      </w:r>
      <w:proofErr w:type="spellStart"/>
      <w:r w:rsidR="007E5DE5">
        <w:t>wellpoint</w:t>
      </w:r>
      <w:proofErr w:type="spellEnd"/>
      <w:r w:rsidR="007E5DE5">
        <w:t xml:space="preserve"> dewatering prior to tailings excavation for example).</w:t>
      </w:r>
    </w:p>
    <w:p w:rsidR="0080530C" w:rsidRDefault="007E5DE5" w:rsidP="007E5DE5">
      <w:pPr>
        <w:pStyle w:val="Heading3"/>
      </w:pPr>
      <w:bookmarkStart w:id="21" w:name="_Toc404336641"/>
      <w:r>
        <w:t>Reconciliation Implications</w:t>
      </w:r>
      <w:bookmarkEnd w:id="21"/>
    </w:p>
    <w:p w:rsidR="004D6212" w:rsidRDefault="004D6212" w:rsidP="0080530C">
      <w:pPr>
        <w:pStyle w:val="BodyText"/>
      </w:pPr>
      <w:r>
        <w:t xml:space="preserve">There are differences in how the central objectives and features of </w:t>
      </w:r>
      <w:r w:rsidR="00784F1E">
        <w:t>Option</w:t>
      </w:r>
      <w:r>
        <w:t xml:space="preserve"> 4 were described in the AECOM and AMEC estimates. However, </w:t>
      </w:r>
      <w:r w:rsidR="00D76401">
        <w:t>the differences in cost between the AECOM and AMEC estimates are not grounded in any significant changes in the basic tenets of the selected remedial approach, but rather from evolutions in the thinking about execution methods and schedules that were, in turn, influenced by the additional site characterization data and design development activity brought to bear during Phase 1.</w:t>
      </w:r>
    </w:p>
    <w:p w:rsidR="00E22F81" w:rsidRPr="00BA4F53" w:rsidRDefault="00E22F81" w:rsidP="00E22F81">
      <w:pPr>
        <w:pStyle w:val="Heading2"/>
      </w:pPr>
      <w:bookmarkStart w:id="22" w:name="_Toc404336642"/>
      <w:r w:rsidRPr="00BA4F53">
        <w:t>Reconciliation Formats</w:t>
      </w:r>
      <w:bookmarkEnd w:id="22"/>
    </w:p>
    <w:p w:rsidR="00733879" w:rsidRPr="00BA4F53" w:rsidRDefault="00644469" w:rsidP="00733879">
      <w:pPr>
        <w:pStyle w:val="BodyText"/>
      </w:pPr>
      <w:r>
        <w:t>Sections 2.4.1 and 2.4</w:t>
      </w:r>
      <w:r w:rsidR="00733879" w:rsidRPr="00BA4F53">
        <w:t>.2 present the formats used to compare the estimated costs and work quantities contained in the two reconciled estimates. The common thread between much of the information is the Activity ID coding assigned to the Primavera construction schedule that accompanied the 30% AMEC estimate submitted in Phase 1 (AMEC, 2014).</w:t>
      </w:r>
    </w:p>
    <w:p w:rsidR="00A2763D" w:rsidRPr="00BA4F53" w:rsidRDefault="00A2763D" w:rsidP="00A2763D">
      <w:pPr>
        <w:pStyle w:val="Heading3"/>
      </w:pPr>
      <w:bookmarkStart w:id="23" w:name="_Toc404336643"/>
      <w:r w:rsidRPr="00BA4F53">
        <w:t>Detailed Estimate Reconciliation</w:t>
      </w:r>
      <w:bookmarkEnd w:id="23"/>
    </w:p>
    <w:p w:rsidR="00733879" w:rsidRPr="00BA4F53" w:rsidRDefault="00733879" w:rsidP="00733879">
      <w:pPr>
        <w:pStyle w:val="BodyText"/>
      </w:pPr>
      <w:r w:rsidRPr="00BA4F53">
        <w:t>Based on the breakdown of the work and the levels of detail available, it was decide</w:t>
      </w:r>
      <w:r w:rsidR="000A560E" w:rsidRPr="00BA4F53">
        <w:t>d</w:t>
      </w:r>
      <w:r w:rsidRPr="00BA4F53">
        <w:t xml:space="preserve"> to use the AMEC estimate as the base case and compare the AECOM estimate to it. Two lump sum items from the AECOM estimate (Restoration of Dome Creek Valley and Common Elements) were also broken down into smaller components for easier comparison to the AMEC estimate. </w:t>
      </w:r>
    </w:p>
    <w:p w:rsidR="00733879" w:rsidRPr="00BA4F53" w:rsidRDefault="00733879" w:rsidP="00733879">
      <w:pPr>
        <w:pStyle w:val="BodyText"/>
      </w:pPr>
      <w:r w:rsidRPr="00BA4F53">
        <w:t xml:space="preserve">For the reconciliation, the 30% AMEC estimate was first rearranged into significant work groupings. AECOM cost estimate items were then assigned as applicable to comparable work groupings. To add clarity, the AMEC scope items were left aligned and assigned a black font, while the AECOM scope items were right aligned in the same column and assigned a red font. Three columns were added on the right hand side of the detailed reconciliation to clarify the scope of the work if necessary and to characterize the variance into quantity driven and price driven components. </w:t>
      </w:r>
    </w:p>
    <w:p w:rsidR="007B50E5" w:rsidRDefault="00733879" w:rsidP="00D97D8A">
      <w:pPr>
        <w:pStyle w:val="BodyText"/>
      </w:pPr>
      <w:r w:rsidRPr="00BA4F53">
        <w:t xml:space="preserve">Refer to Table </w:t>
      </w:r>
      <w:r w:rsidR="00644469">
        <w:t>2.4</w:t>
      </w:r>
      <w:r w:rsidR="000A560E" w:rsidRPr="00BA4F53">
        <w:t>.1-1</w:t>
      </w:r>
      <w:r w:rsidRPr="00BA4F53">
        <w:t xml:space="preserve"> for the summary level cost </w:t>
      </w:r>
      <w:r w:rsidR="00025FA8" w:rsidRPr="00BA4F53">
        <w:t>reconciliation</w:t>
      </w:r>
      <w:r w:rsidRPr="00BA4F53">
        <w:t xml:space="preserve"> results and to Appendix </w:t>
      </w:r>
      <w:proofErr w:type="spellStart"/>
      <w:r w:rsidR="000A560E" w:rsidRPr="00BA4F53">
        <w:t>2A</w:t>
      </w:r>
      <w:proofErr w:type="spellEnd"/>
      <w:r w:rsidRPr="00BA4F53">
        <w:t xml:space="preserve"> for the detailed reconciliation</w:t>
      </w:r>
      <w:r w:rsidR="000A560E" w:rsidRPr="00BA4F53">
        <w:t>,</w:t>
      </w:r>
      <w:r w:rsidRPr="00BA4F53">
        <w:t xml:space="preserve"> as well as </w:t>
      </w:r>
      <w:r w:rsidR="000A560E" w:rsidRPr="00BA4F53">
        <w:t>summaries</w:t>
      </w:r>
      <w:r w:rsidRPr="00BA4F53">
        <w:t xml:space="preserve"> of the two source estimates used for the exercise. For the summary reconciliation in Table </w:t>
      </w:r>
      <w:r w:rsidR="00644469">
        <w:t>2.4</w:t>
      </w:r>
      <w:r w:rsidR="000A560E" w:rsidRPr="00BA4F53">
        <w:t>.1-1,</w:t>
      </w:r>
      <w:r w:rsidRPr="00BA4F53">
        <w:t xml:space="preserve"> the </w:t>
      </w:r>
      <w:proofErr w:type="spellStart"/>
      <w:r w:rsidRPr="00BA4F53">
        <w:t>Q4</w:t>
      </w:r>
      <w:proofErr w:type="spellEnd"/>
      <w:r w:rsidRPr="00BA4F53">
        <w:t xml:space="preserve"> 2010 AECOM estimate numbers were escalated by 9% </w:t>
      </w:r>
      <w:r w:rsidR="00D97D8A">
        <w:t xml:space="preserve">(based on AMEC data for cost escalation between 2010 and 2014) </w:t>
      </w:r>
      <w:r w:rsidRPr="00BA4F53">
        <w:t xml:space="preserve">to bring them in line with the </w:t>
      </w:r>
      <w:proofErr w:type="spellStart"/>
      <w:r w:rsidRPr="00BA4F53">
        <w:t>Q1</w:t>
      </w:r>
      <w:proofErr w:type="spellEnd"/>
      <w:r w:rsidRPr="00BA4F53">
        <w:t xml:space="preserve"> 2014 AMEC estimate</w:t>
      </w:r>
      <w:r w:rsidR="000A560E" w:rsidRPr="00BA4F53">
        <w:t xml:space="preserve"> (i.e.</w:t>
      </w:r>
      <w:r w:rsidRPr="00BA4F53">
        <w:t xml:space="preserve"> they do not match the numbers shown in the detailed reconciliation in Appendix </w:t>
      </w:r>
      <w:proofErr w:type="spellStart"/>
      <w:r w:rsidR="000A560E" w:rsidRPr="00BA4F53">
        <w:t>2A</w:t>
      </w:r>
      <w:proofErr w:type="spellEnd"/>
      <w:r w:rsidR="0027446C">
        <w:t>)</w:t>
      </w:r>
      <w:r w:rsidR="000A560E" w:rsidRPr="00BA4F53">
        <w:t>.</w:t>
      </w:r>
    </w:p>
    <w:p w:rsidR="00644469" w:rsidRDefault="00644469" w:rsidP="00D97D8A">
      <w:pPr>
        <w:pStyle w:val="BodyText"/>
      </w:pPr>
      <w:r>
        <w:br w:type="page"/>
      </w:r>
    </w:p>
    <w:p w:rsidR="00644469" w:rsidRPr="00BA4F53" w:rsidRDefault="00644469" w:rsidP="00644469">
      <w:pPr>
        <w:pStyle w:val="Table"/>
      </w:pPr>
      <w:bookmarkStart w:id="24" w:name="_Toc406511629"/>
      <w:r>
        <w:lastRenderedPageBreak/>
        <w:t>Table 2.4</w:t>
      </w:r>
      <w:r w:rsidRPr="00BA4F53">
        <w:t>.1-1:  Summary Level Cost Reconciliation Results</w:t>
      </w:r>
      <w:bookmarkEnd w:id="24"/>
    </w:p>
    <w:p w:rsidR="00644469" w:rsidRPr="00BA4F53" w:rsidRDefault="00644469" w:rsidP="00644469">
      <w:pPr>
        <w:jc w:val="left"/>
        <w:rPr>
          <w:rFonts w:cs="Arial"/>
          <w:szCs w:val="22"/>
        </w:rPr>
      </w:pPr>
      <w:r w:rsidRPr="00BA4F53">
        <w:br w:type="page"/>
      </w:r>
    </w:p>
    <w:p w:rsidR="002A60F5" w:rsidRPr="00BA4F53" w:rsidRDefault="002A60F5" w:rsidP="002A60F5">
      <w:pPr>
        <w:pStyle w:val="Heading3"/>
      </w:pPr>
      <w:bookmarkStart w:id="25" w:name="_Toc404336644"/>
      <w:r w:rsidRPr="00BA4F53">
        <w:lastRenderedPageBreak/>
        <w:t>Detailed Quantity Reconciliation</w:t>
      </w:r>
      <w:bookmarkEnd w:id="25"/>
    </w:p>
    <w:p w:rsidR="000A560E" w:rsidRPr="00BA4F53" w:rsidRDefault="000A560E" w:rsidP="000A560E">
      <w:pPr>
        <w:pStyle w:val="BodyText"/>
      </w:pPr>
      <w:r w:rsidRPr="00BA4F53">
        <w:t>As noted previously, the common thread through much of the reconciliation exercise is the Activity ID coding used in the Primavera construction schedule developed in Phase 1. That schedule also included a column showing the quantities of work on which the individual schedule durations were based.</w:t>
      </w:r>
    </w:p>
    <w:p w:rsidR="000A560E" w:rsidRPr="00BA4F53" w:rsidRDefault="000A560E" w:rsidP="000A560E">
      <w:pPr>
        <w:pStyle w:val="BodyText"/>
      </w:pPr>
      <w:r w:rsidRPr="00BA4F53">
        <w:t xml:space="preserve">The first step in the reconciliation of estimate quantities was to provide as much detail as possible on the makeup of the quantities shown in the Primavera schedule. The details of that breakdown can be found in Appendix </w:t>
      </w:r>
      <w:proofErr w:type="spellStart"/>
      <w:r w:rsidRPr="00BA4F53">
        <w:t>2B</w:t>
      </w:r>
      <w:proofErr w:type="spellEnd"/>
      <w:r w:rsidRPr="00BA4F53">
        <w:t>. The broken down quantities were also colour coded and summarized into major quantity groupings at the bottom of the spreadsheet.</w:t>
      </w:r>
    </w:p>
    <w:p w:rsidR="000A560E" w:rsidRPr="00BA4F53" w:rsidRDefault="000A560E" w:rsidP="000A560E">
      <w:pPr>
        <w:pStyle w:val="BodyText"/>
      </w:pPr>
      <w:r w:rsidRPr="00BA4F53">
        <w:t xml:space="preserve">Appendix </w:t>
      </w:r>
      <w:proofErr w:type="spellStart"/>
      <w:r w:rsidRPr="00BA4F53">
        <w:t>2B</w:t>
      </w:r>
      <w:proofErr w:type="spellEnd"/>
      <w:r w:rsidRPr="00BA4F53">
        <w:t xml:space="preserve"> also contains a second detailed quantities reconciliation that identifies the sources of rock and tailings used for the various components in the closed out facility, allowing a higher level understanding of material </w:t>
      </w:r>
      <w:proofErr w:type="gramStart"/>
      <w:r w:rsidRPr="00BA4F53">
        <w:t>movements</w:t>
      </w:r>
      <w:proofErr w:type="gramEnd"/>
      <w:r w:rsidRPr="00BA4F53">
        <w:t xml:space="preserve"> onsite during closure.</w:t>
      </w:r>
    </w:p>
    <w:p w:rsidR="000A560E" w:rsidRPr="00BA4F53" w:rsidRDefault="000A560E" w:rsidP="000A560E">
      <w:pPr>
        <w:pStyle w:val="BodyText"/>
      </w:pPr>
      <w:r w:rsidRPr="00BA4F53">
        <w:t>Finally, a summary reconciliation of the quan</w:t>
      </w:r>
      <w:r w:rsidR="00644469">
        <w:t>tities is presented in Table 2.4</w:t>
      </w:r>
      <w:r w:rsidRPr="00BA4F53">
        <w:t xml:space="preserve">.2-1. The quantities in the table are colour coded to correlate with the detailed </w:t>
      </w:r>
      <w:r w:rsidR="00025FA8" w:rsidRPr="00BA4F53">
        <w:t>reconciliation</w:t>
      </w:r>
      <w:r w:rsidRPr="00BA4F53">
        <w:t xml:space="preserve"> quantities in Appendix </w:t>
      </w:r>
      <w:proofErr w:type="spellStart"/>
      <w:r w:rsidRPr="00BA4F53">
        <w:t>2B</w:t>
      </w:r>
      <w:proofErr w:type="spellEnd"/>
      <w:r w:rsidRPr="00BA4F53">
        <w:t>.</w:t>
      </w:r>
    </w:p>
    <w:p w:rsidR="00D43AB1" w:rsidRPr="00BA4F53" w:rsidRDefault="00D43AB1" w:rsidP="00D43AB1">
      <w:pPr>
        <w:pStyle w:val="Heading2"/>
      </w:pPr>
      <w:bookmarkStart w:id="26" w:name="_Toc404336645"/>
      <w:r w:rsidRPr="00BA4F53">
        <w:t>Reconciliation Findings</w:t>
      </w:r>
      <w:bookmarkEnd w:id="26"/>
    </w:p>
    <w:p w:rsidR="00D43AB1" w:rsidRPr="00BA4F53" w:rsidRDefault="00D43AB1" w:rsidP="00D43AB1">
      <w:pPr>
        <w:pStyle w:val="Heading3"/>
      </w:pPr>
      <w:bookmarkStart w:id="27" w:name="_Toc404336646"/>
      <w:r w:rsidRPr="00BA4F53">
        <w:t>Estimate Objectives</w:t>
      </w:r>
      <w:bookmarkEnd w:id="27"/>
    </w:p>
    <w:p w:rsidR="00D43AB1" w:rsidRPr="00BA4F53" w:rsidRDefault="00D43AB1" w:rsidP="00D43AB1">
      <w:pPr>
        <w:pStyle w:val="BodyText"/>
      </w:pPr>
      <w:r w:rsidRPr="00BA4F53">
        <w:t>Before undertaking any detailed assessment of differences between the AECOM and AMEC estimates, it is useful to consider that they were provided for different purposes, at different points in the project development process. The AECOM estimate was developed from design concepts and intended primarily to support selection of a preferred remedial option. The AMEC estimate was the first to focus on a single remedial approach, and was prepared from a design that reflected the additional development resulting from Phase 1 activity. In short, the AECOM estimate focused on points of difference among alternatives, while the AMEC estimate was the first cost milestone on a prescribed development path for a specific design scope. It could be expected then that there would be significant variations between these two estimates. Differing objectives may not account for the full separation between the estimates, but it was likely a significant contributing factor.</w:t>
      </w:r>
    </w:p>
    <w:p w:rsidR="000A560E" w:rsidRPr="00BA4F53" w:rsidRDefault="000A560E">
      <w:pPr>
        <w:jc w:val="left"/>
        <w:rPr>
          <w:rFonts w:cs="Arial"/>
          <w:szCs w:val="22"/>
        </w:rPr>
      </w:pPr>
      <w:r w:rsidRPr="00BA4F53">
        <w:br w:type="page"/>
      </w:r>
    </w:p>
    <w:p w:rsidR="000A560E" w:rsidRPr="00BA4F53" w:rsidRDefault="00644469" w:rsidP="000A560E">
      <w:pPr>
        <w:pStyle w:val="Table"/>
      </w:pPr>
      <w:bookmarkStart w:id="28" w:name="_Toc406511630"/>
      <w:r>
        <w:lastRenderedPageBreak/>
        <w:t>Table 2.4</w:t>
      </w:r>
      <w:r w:rsidR="00284247">
        <w:t>.2-1</w:t>
      </w:r>
      <w:r w:rsidR="000A560E" w:rsidRPr="00BA4F53">
        <w:t>:  Summary Reconciliation of the Quantities</w:t>
      </w:r>
      <w:bookmarkEnd w:id="28"/>
    </w:p>
    <w:p w:rsidR="000A560E" w:rsidRPr="00BA4F53" w:rsidRDefault="000A560E">
      <w:pPr>
        <w:jc w:val="left"/>
        <w:rPr>
          <w:rFonts w:cs="Arial"/>
          <w:szCs w:val="22"/>
        </w:rPr>
      </w:pPr>
      <w:r w:rsidRPr="00BA4F53">
        <w:br w:type="page"/>
      </w:r>
    </w:p>
    <w:p w:rsidR="001171A4" w:rsidRPr="00BA4F53" w:rsidRDefault="001171A4" w:rsidP="001171A4">
      <w:pPr>
        <w:pStyle w:val="Heading3"/>
      </w:pPr>
      <w:bookmarkStart w:id="29" w:name="_Toc404336647"/>
      <w:r w:rsidRPr="00BA4F53">
        <w:lastRenderedPageBreak/>
        <w:t xml:space="preserve">Detailed Estimate </w:t>
      </w:r>
      <w:r w:rsidR="00A2763D" w:rsidRPr="00BA4F53">
        <w:t>Reconciliation</w:t>
      </w:r>
      <w:bookmarkEnd w:id="29"/>
    </w:p>
    <w:p w:rsidR="00042E99" w:rsidRPr="00BA4F53" w:rsidRDefault="00042E99" w:rsidP="00042E99">
      <w:pPr>
        <w:pStyle w:val="BodyText"/>
      </w:pPr>
      <w:r w:rsidRPr="00BA4F53">
        <w:t xml:space="preserve">The total cost estimate variance between the Phase 1 AMEC estimate ($89.8 million) and the </w:t>
      </w:r>
      <w:r w:rsidRPr="00BA4F53">
        <w:br/>
        <w:t xml:space="preserve">pre-Phase 1 AECOM estimate ($33.7 million including 9% escalation) is $56.1 million. The following presents the major sources identified as contributing to this variance. </w:t>
      </w:r>
    </w:p>
    <w:p w:rsidR="00042E99" w:rsidRPr="00BA4F53" w:rsidRDefault="00042E99" w:rsidP="00042E99">
      <w:pPr>
        <w:pStyle w:val="BodyText"/>
      </w:pPr>
      <w:r w:rsidRPr="00BA4F53">
        <w:t xml:space="preserve">From the summary </w:t>
      </w:r>
      <w:r w:rsidR="00644469">
        <w:t>cost reconciliation in Table 2.4</w:t>
      </w:r>
      <w:r w:rsidRPr="00BA4F53">
        <w:t>.1-1, it is clear that the following items were excluded from the 2010 AECOM estimate:</w:t>
      </w:r>
    </w:p>
    <w:p w:rsidR="00042E99" w:rsidRDefault="00042E99" w:rsidP="00042E99">
      <w:pPr>
        <w:pStyle w:val="bullet0"/>
      </w:pPr>
      <w:r w:rsidRPr="00BA4F53">
        <w:t>Site maintenance between construction seasons ($2.1 million);</w:t>
      </w:r>
    </w:p>
    <w:p w:rsidR="00D43AB1" w:rsidRDefault="00D43AB1" w:rsidP="00042E99">
      <w:pPr>
        <w:pStyle w:val="bullet0"/>
      </w:pPr>
      <w:r>
        <w:t>Haul road and pit wall stabilization ($0.7 million);</w:t>
      </w:r>
    </w:p>
    <w:p w:rsidR="00D43AB1" w:rsidRDefault="00D43AB1" w:rsidP="00042E99">
      <w:pPr>
        <w:pStyle w:val="bullet0"/>
      </w:pPr>
      <w:proofErr w:type="spellStart"/>
      <w:r>
        <w:t>Wellpoint</w:t>
      </w:r>
      <w:proofErr w:type="spellEnd"/>
      <w:r>
        <w:t xml:space="preserve"> dewatering ($11.3 million);</w:t>
      </w:r>
    </w:p>
    <w:p w:rsidR="00D43AB1" w:rsidRPr="00BA4F53" w:rsidRDefault="00D43AB1" w:rsidP="00042E99">
      <w:pPr>
        <w:pStyle w:val="bullet0"/>
      </w:pPr>
      <w:proofErr w:type="spellStart"/>
      <w:r>
        <w:t>PAG</w:t>
      </w:r>
      <w:proofErr w:type="spellEnd"/>
      <w:r>
        <w:t xml:space="preserve"> rock/tails mixing ($4.7 million);</w:t>
      </w:r>
    </w:p>
    <w:p w:rsidR="00042E99" w:rsidRPr="00BA4F53" w:rsidRDefault="00042E99" w:rsidP="00042E99">
      <w:pPr>
        <w:pStyle w:val="bullet0"/>
      </w:pPr>
      <w:r w:rsidRPr="00BA4F53">
        <w:t>Design contingencies ($1.4 million); and</w:t>
      </w:r>
    </w:p>
    <w:p w:rsidR="00042E99" w:rsidRPr="00BA4F53" w:rsidRDefault="00042E99" w:rsidP="00042E99">
      <w:pPr>
        <w:pStyle w:val="bullet0"/>
      </w:pPr>
      <w:r w:rsidRPr="00BA4F53">
        <w:t>Adaptive management items ($3.8 million).</w:t>
      </w:r>
    </w:p>
    <w:p w:rsidR="00D43AB1" w:rsidRDefault="00D43AB1" w:rsidP="00042E99">
      <w:pPr>
        <w:pStyle w:val="BodyText"/>
      </w:pPr>
      <w:r>
        <w:t>These missing scope items alone account for some $29 million (including the associated 20% contingency) of the difference betwe</w:t>
      </w:r>
      <w:r w:rsidR="00526E79">
        <w:t>en the AECOM and AMEC estimates</w:t>
      </w:r>
      <w:r>
        <w:t>. It is interesting to note that combining this missing scope with the applicable upper and lower variances of the AECOM and AMEC estima</w:t>
      </w:r>
      <w:r w:rsidR="00644469">
        <w:t>tes covers much of the Table 2.4</w:t>
      </w:r>
      <w:r>
        <w:t>.1-1 variance, as follows:</w:t>
      </w:r>
    </w:p>
    <w:p w:rsidR="00D43AB1" w:rsidRDefault="00B426EB" w:rsidP="00B426EB">
      <w:pPr>
        <w:pStyle w:val="bullet0"/>
        <w:tabs>
          <w:tab w:val="right" w:pos="9630"/>
        </w:tabs>
      </w:pPr>
      <w:r>
        <w:t xml:space="preserve">Upper bound variance on AECOM Class D estimate (i.e. +40%) </w:t>
      </w:r>
      <w:r>
        <w:tab/>
      </w:r>
      <w:r w:rsidR="004C40F2">
        <w:t>$13.5 million</w:t>
      </w:r>
    </w:p>
    <w:p w:rsidR="00B426EB" w:rsidRDefault="00803554" w:rsidP="00B426EB">
      <w:pPr>
        <w:pStyle w:val="bullet0"/>
        <w:tabs>
          <w:tab w:val="right" w:pos="9630"/>
        </w:tabs>
      </w:pPr>
      <w:r>
        <w:t>Lower bound variance on AMEC Class 3 estimate (i.e. -15%)</w:t>
      </w:r>
      <w:r>
        <w:tab/>
        <w:t>$13.5 million</w:t>
      </w:r>
    </w:p>
    <w:p w:rsidR="00803554" w:rsidRDefault="00803554" w:rsidP="00B426EB">
      <w:pPr>
        <w:pStyle w:val="bullet0"/>
        <w:tabs>
          <w:tab w:val="right" w:pos="9630"/>
        </w:tabs>
      </w:pPr>
      <w:r>
        <w:t>Missing scope elements</w:t>
      </w:r>
      <w:r>
        <w:tab/>
      </w:r>
      <w:r w:rsidRPr="00803554">
        <w:rPr>
          <w:u w:val="single"/>
        </w:rPr>
        <w:t>$29</w:t>
      </w:r>
      <w:r w:rsidR="004C40F2">
        <w:rPr>
          <w:u w:val="single"/>
        </w:rPr>
        <w:t>.0</w:t>
      </w:r>
      <w:r w:rsidRPr="00803554">
        <w:rPr>
          <w:u w:val="single"/>
        </w:rPr>
        <w:t xml:space="preserve"> million</w:t>
      </w:r>
    </w:p>
    <w:p w:rsidR="00803554" w:rsidRDefault="00803554" w:rsidP="00803554">
      <w:pPr>
        <w:pStyle w:val="bullet0"/>
        <w:numPr>
          <w:ilvl w:val="0"/>
          <w:numId w:val="0"/>
        </w:numPr>
        <w:tabs>
          <w:tab w:val="left" w:pos="7380"/>
          <w:tab w:val="right" w:pos="9630"/>
        </w:tabs>
        <w:ind w:left="907"/>
      </w:pPr>
      <w:r>
        <w:tab/>
        <w:t>Total:</w:t>
      </w:r>
      <w:r>
        <w:tab/>
        <w:t>$56</w:t>
      </w:r>
      <w:r w:rsidR="004C40F2">
        <w:t>.0</w:t>
      </w:r>
      <w:r>
        <w:t xml:space="preserve"> million</w:t>
      </w:r>
    </w:p>
    <w:p w:rsidR="00042E99" w:rsidRPr="00BA4F53" w:rsidRDefault="0023681E" w:rsidP="00042E99">
      <w:pPr>
        <w:pStyle w:val="BodyText"/>
      </w:pPr>
      <w:r>
        <w:t>In addition, m</w:t>
      </w:r>
      <w:r w:rsidR="00042E99" w:rsidRPr="00BA4F53">
        <w:t xml:space="preserve">ajor differences </w:t>
      </w:r>
      <w:r w:rsidR="00526E79">
        <w:t xml:space="preserve">between the AECOM and AMEC estimates </w:t>
      </w:r>
      <w:r w:rsidR="00042E99" w:rsidRPr="00BA4F53">
        <w:t>can also be att</w:t>
      </w:r>
      <w:r w:rsidR="00526E79">
        <w:t>ributed to the following items.</w:t>
      </w:r>
    </w:p>
    <w:p w:rsidR="00042E99" w:rsidRPr="00BA4F53" w:rsidRDefault="00042E99" w:rsidP="00042E99">
      <w:pPr>
        <w:pStyle w:val="bullet0"/>
      </w:pPr>
      <w:r w:rsidRPr="00BA4F53">
        <w:rPr>
          <w:b/>
        </w:rPr>
        <w:t>The general approach to the two estima</w:t>
      </w:r>
      <w:r w:rsidR="00644469">
        <w:rPr>
          <w:b/>
        </w:rPr>
        <w:t>tes as introduced in Section 2.5</w:t>
      </w:r>
      <w:r w:rsidRPr="00BA4F53">
        <w:rPr>
          <w:b/>
        </w:rPr>
        <w:t>.1.</w:t>
      </w:r>
      <w:r w:rsidRPr="00BA4F53">
        <w:t xml:space="preserve"> Unlike the AMEC estimate, it is believed that the AECOM unit cost rates do not completely account for all contractor </w:t>
      </w:r>
      <w:proofErr w:type="spellStart"/>
      <w:r w:rsidRPr="00BA4F53">
        <w:t>indirects</w:t>
      </w:r>
      <w:proofErr w:type="spellEnd"/>
      <w:r w:rsidRPr="00BA4F53">
        <w:t xml:space="preserve"> that will be incurred to perform the direct work scope items, such as contractor site overhead staff, camp catering and housekeeping, haul road improvements, and major sediment and water management works required during construction.</w:t>
      </w:r>
      <w:r w:rsidR="0023681E">
        <w:t xml:space="preserve"> In addition, the AMEC estimate was based on, and integrated with, an execution schedule tied to judgements of individual activity durations.</w:t>
      </w:r>
    </w:p>
    <w:p w:rsidR="0059054E" w:rsidRDefault="00042E99" w:rsidP="00042E99">
      <w:pPr>
        <w:pStyle w:val="bullet0"/>
      </w:pPr>
      <w:r w:rsidRPr="00BA4F53">
        <w:rPr>
          <w:b/>
        </w:rPr>
        <w:t xml:space="preserve">The general methodology assumed for removing the tailings from the </w:t>
      </w:r>
      <w:proofErr w:type="spellStart"/>
      <w:r w:rsidRPr="00BA4F53">
        <w:rPr>
          <w:b/>
        </w:rPr>
        <w:t>TSF</w:t>
      </w:r>
      <w:proofErr w:type="spellEnd"/>
      <w:r w:rsidRPr="00BA4F53">
        <w:rPr>
          <w:b/>
        </w:rPr>
        <w:t>.</w:t>
      </w:r>
      <w:r w:rsidRPr="00BA4F53">
        <w:t xml:space="preserve"> Although the AECOM estimate has little detailed cost breakdown information related to their assumed tailings removal methodology, the unit rate used for tailings removal does not allow for much more than loading the tailings, hauling them to the open pit, and depositing them in their final location. </w:t>
      </w:r>
      <w:r w:rsidR="0059054E">
        <w:t>AECOM assumed the execution method was based on winter relocation of frozen and partially frozen materials.</w:t>
      </w:r>
    </w:p>
    <w:p w:rsidR="00042E99" w:rsidRDefault="0059054E" w:rsidP="0059054E">
      <w:pPr>
        <w:pStyle w:val="bullet0"/>
        <w:numPr>
          <w:ilvl w:val="0"/>
          <w:numId w:val="0"/>
        </w:numPr>
        <w:ind w:left="1260"/>
      </w:pPr>
      <w:r>
        <w:lastRenderedPageBreak/>
        <w:t>T</w:t>
      </w:r>
      <w:r w:rsidR="00042E99" w:rsidRPr="00BA4F53">
        <w:t xml:space="preserve">o reduce the risk of contractor non-performance and lower the moisture content of the materials stored under cover at the open pit, AMEC assumed a much more robust approach for removal of the tailings and deposition in the pit. </w:t>
      </w:r>
      <w:r w:rsidR="0023681E">
        <w:t>Based on the 2013 Site Investigation (SI) findings, AMEC concluded</w:t>
      </w:r>
      <w:r w:rsidR="00042E99" w:rsidRPr="00BA4F53">
        <w:t xml:space="preserve"> that rock platforms </w:t>
      </w:r>
      <w:r w:rsidR="0023681E">
        <w:t>should</w:t>
      </w:r>
      <w:r w:rsidR="00042E99" w:rsidRPr="00BA4F53">
        <w:t xml:space="preserve"> be built over the in situ tailing surfaces with </w:t>
      </w:r>
      <w:r w:rsidR="0023681E">
        <w:t>potentially acid generating (</w:t>
      </w:r>
      <w:proofErr w:type="spellStart"/>
      <w:r w:rsidR="00042E99" w:rsidRPr="00BA4F53">
        <w:t>PAG</w:t>
      </w:r>
      <w:proofErr w:type="spellEnd"/>
      <w:r w:rsidR="0023681E">
        <w:t>)</w:t>
      </w:r>
      <w:r w:rsidR="00042E99" w:rsidRPr="00BA4F53">
        <w:t xml:space="preserve"> rock from nearby waste dumps, with those platforms used for excavator and haul truck traffic and </w:t>
      </w:r>
      <w:proofErr w:type="spellStart"/>
      <w:r w:rsidR="00042E99" w:rsidRPr="00BA4F53">
        <w:t>wellpoint</w:t>
      </w:r>
      <w:proofErr w:type="spellEnd"/>
      <w:r w:rsidR="00042E99" w:rsidRPr="00BA4F53">
        <w:t xml:space="preserve"> operations, before being mixed with the tailings at the work face benches when loading into trucks. The handling </w:t>
      </w:r>
      <w:r w:rsidR="00025FA8" w:rsidRPr="00BA4F53">
        <w:t>characteristics</w:t>
      </w:r>
      <w:r w:rsidR="00042E99" w:rsidRPr="00BA4F53">
        <w:t xml:space="preserve"> of the in situ tailings are further improved by installing and operating a series of well points ahead of the excavation operations. Not including the cost of loading, hauling, and dumping the tailings (which are close between the two </w:t>
      </w:r>
      <w:r w:rsidR="0023681E">
        <w:t>estimates according to Table 2.4</w:t>
      </w:r>
      <w:r w:rsidR="00042E99" w:rsidRPr="00BA4F53">
        <w:t xml:space="preserve">.1-1, but based on different quantities as discussed in the next subsection), the cost variance between the two estimates resulting from different excavation methodologies is </w:t>
      </w:r>
      <w:r>
        <w:t>approximately</w:t>
      </w:r>
      <w:r w:rsidR="00042E99" w:rsidRPr="00BA4F53">
        <w:t xml:space="preserve"> $16 million. </w:t>
      </w:r>
    </w:p>
    <w:p w:rsidR="0059054E" w:rsidRPr="00BA4F53" w:rsidRDefault="0059054E" w:rsidP="0059054E">
      <w:pPr>
        <w:pStyle w:val="bullet0"/>
        <w:numPr>
          <w:ilvl w:val="0"/>
          <w:numId w:val="0"/>
        </w:numPr>
        <w:ind w:left="1260"/>
      </w:pPr>
      <w:r>
        <w:t>In short, the AMEC methodology aligns with the project need to provide conditions in the backfilled pit consistent with the development, within reasonable timelines, of a stable pit cover and reclamation surface. AECOM’s concept involves relocating tailings largely at their in-place moisture content and does not explicitly define how the result can provide surfaces stable enough to sustain the specified pit cover.</w:t>
      </w:r>
    </w:p>
    <w:p w:rsidR="00042E99" w:rsidRPr="00BA4F53" w:rsidRDefault="00042E99" w:rsidP="00042E99">
      <w:pPr>
        <w:pStyle w:val="bullet0"/>
      </w:pPr>
      <w:r w:rsidRPr="00BA4F53">
        <w:rPr>
          <w:b/>
        </w:rPr>
        <w:t xml:space="preserve">Reclamation of the </w:t>
      </w:r>
      <w:proofErr w:type="spellStart"/>
      <w:r w:rsidRPr="00BA4F53">
        <w:rPr>
          <w:b/>
        </w:rPr>
        <w:t>TSF</w:t>
      </w:r>
      <w:proofErr w:type="spellEnd"/>
      <w:r w:rsidRPr="00BA4F53">
        <w:rPr>
          <w:b/>
        </w:rPr>
        <w:t xml:space="preserve"> footprint.</w:t>
      </w:r>
      <w:r w:rsidRPr="00BA4F53">
        <w:t xml:space="preserve"> It is clear that there are large differences between the two estimates when it comes to reclamation of the </w:t>
      </w:r>
      <w:proofErr w:type="spellStart"/>
      <w:r w:rsidRPr="00BA4F53">
        <w:t>TSF</w:t>
      </w:r>
      <w:proofErr w:type="spellEnd"/>
      <w:r w:rsidRPr="00BA4F53">
        <w:t xml:space="preserve"> area once the tailings are removed. Those differences begin with the amount of </w:t>
      </w:r>
      <w:proofErr w:type="spellStart"/>
      <w:r w:rsidRPr="00BA4F53">
        <w:t>subexcavation</w:t>
      </w:r>
      <w:proofErr w:type="spellEnd"/>
      <w:r w:rsidRPr="00BA4F53">
        <w:t xml:space="preserve"> assumed below the </w:t>
      </w:r>
      <w:proofErr w:type="spellStart"/>
      <w:r w:rsidRPr="00BA4F53">
        <w:t>TSF</w:t>
      </w:r>
      <w:proofErr w:type="spellEnd"/>
      <w:r w:rsidRPr="00BA4F53">
        <w:t xml:space="preserve"> footprint about $1 million) and the treatment of the exposed ground surfaces. AMEC assumes that a 300 mm layer of sand will be placed first, and then overlaid with a 1,200 mm layer of </w:t>
      </w:r>
      <w:r w:rsidR="0023681E">
        <w:t>non-acid generating (</w:t>
      </w:r>
      <w:r w:rsidRPr="00BA4F53">
        <w:t>NAG</w:t>
      </w:r>
      <w:r w:rsidR="0023681E">
        <w:t>)</w:t>
      </w:r>
      <w:r w:rsidRPr="00BA4F53">
        <w:t xml:space="preserve"> rock before final contouring and </w:t>
      </w:r>
      <w:proofErr w:type="spellStart"/>
      <w:r w:rsidRPr="00BA4F53">
        <w:t>revegetation</w:t>
      </w:r>
      <w:proofErr w:type="spellEnd"/>
      <w:r w:rsidRPr="00BA4F53">
        <w:t xml:space="preserve">. Although the AMEC and AECOM estimates for Dome Creek reclamation are similar for the sand cover and </w:t>
      </w:r>
      <w:proofErr w:type="spellStart"/>
      <w:r w:rsidRPr="00BA4F53">
        <w:t>revegetation</w:t>
      </w:r>
      <w:proofErr w:type="spellEnd"/>
      <w:r w:rsidRPr="00BA4F53">
        <w:t xml:space="preserve"> components, the AMEC assumption for armouring the entire area with NAG rock adds over $2 million to the project costs.</w:t>
      </w:r>
    </w:p>
    <w:p w:rsidR="00042E99" w:rsidRPr="00BA4F53" w:rsidRDefault="00042E99" w:rsidP="00042E99">
      <w:pPr>
        <w:pStyle w:val="bullet0"/>
      </w:pPr>
      <w:r w:rsidRPr="00BA4F53">
        <w:rPr>
          <w:b/>
        </w:rPr>
        <w:t>Water treatment</w:t>
      </w:r>
      <w:r w:rsidRPr="00BA4F53">
        <w:t xml:space="preserve">. The two estimates vary by over $5 million, </w:t>
      </w:r>
      <w:r w:rsidR="0023681E">
        <w:t>largely because AMEC concluded that a larger, fixed (vs. mobile) plant with additional process units would be needed.</w:t>
      </w:r>
    </w:p>
    <w:p w:rsidR="00042E99" w:rsidRPr="00BA4F53" w:rsidRDefault="00042E99" w:rsidP="00042E99">
      <w:pPr>
        <w:pStyle w:val="bullet0"/>
      </w:pPr>
      <w:proofErr w:type="spellStart"/>
      <w:r w:rsidRPr="00BA4F53">
        <w:rPr>
          <w:b/>
        </w:rPr>
        <w:t>Landforming</w:t>
      </w:r>
      <w:proofErr w:type="spellEnd"/>
      <w:r w:rsidRPr="00BA4F53">
        <w:t xml:space="preserve">. The AMEC estimate may be slightly conservative regarding the amount of rough grading and </w:t>
      </w:r>
      <w:proofErr w:type="spellStart"/>
      <w:r w:rsidRPr="00BA4F53">
        <w:t>revegetation</w:t>
      </w:r>
      <w:proofErr w:type="spellEnd"/>
      <w:r w:rsidRPr="00BA4F53">
        <w:t xml:space="preserve"> required after removal of all NAG and hydrocarbon contaminated materials. This will be examined more closely in the 60% design phase, once clear </w:t>
      </w:r>
      <w:r w:rsidR="00025FA8" w:rsidRPr="00BA4F53">
        <w:t>consensus</w:t>
      </w:r>
      <w:r w:rsidRPr="00BA4F53">
        <w:t xml:space="preserve"> is reached on expectations for the site’s final appearance.</w:t>
      </w:r>
    </w:p>
    <w:p w:rsidR="00042E99" w:rsidRPr="00BA4F53" w:rsidRDefault="00042E99" w:rsidP="00042E99">
      <w:pPr>
        <w:pStyle w:val="bullet0"/>
      </w:pPr>
      <w:r w:rsidRPr="00BA4F53">
        <w:rPr>
          <w:b/>
        </w:rPr>
        <w:t>Removal of hazardous materials from site</w:t>
      </w:r>
      <w:r w:rsidRPr="00BA4F53">
        <w:t>. It’s likely the AMEC cost for this item will be lowered in the 60% design phase, potentially by more than $1 million, with agreement from the Project Partners on the final disposal location (onsite versus offsite).</w:t>
      </w:r>
    </w:p>
    <w:p w:rsidR="00042E99" w:rsidRPr="00BA4F53" w:rsidRDefault="00042E99" w:rsidP="00042E99">
      <w:pPr>
        <w:pStyle w:val="bullet0"/>
      </w:pPr>
      <w:r w:rsidRPr="00BA4F53">
        <w:rPr>
          <w:b/>
        </w:rPr>
        <w:t>Open pit cover</w:t>
      </w:r>
      <w:r w:rsidRPr="00BA4F53">
        <w:t xml:space="preserve">. The two estimates vary widely in scope and cost (over $5 million), with the AMEC estimate assuming an interim cover followed by a final engineered cover, and the AECOM estimate a final less complex cover only. </w:t>
      </w:r>
    </w:p>
    <w:p w:rsidR="00042E99" w:rsidRPr="00BA4F53" w:rsidRDefault="00042E99" w:rsidP="00526E79">
      <w:pPr>
        <w:pStyle w:val="bullet0"/>
        <w:keepNext/>
        <w:keepLines/>
      </w:pPr>
      <w:r w:rsidRPr="00BA4F53">
        <w:rPr>
          <w:b/>
        </w:rPr>
        <w:lastRenderedPageBreak/>
        <w:t>Contingency</w:t>
      </w:r>
      <w:r w:rsidRPr="00BA4F53">
        <w:t>. The AMEC estimate contains more than $7 million in additional contingency, but this is strictly the result of the overall increase in capital costs since the AMEC markup is 20% compared to AECOM’s 30%. AMEC used a lower rate to reflect the level of effort put into developing the contractor methodology and project costs and note that it is lower than what is typically used for a 30% level of design.</w:t>
      </w:r>
    </w:p>
    <w:p w:rsidR="001171A4" w:rsidRPr="00BA4F53" w:rsidRDefault="001171A4" w:rsidP="001171A4">
      <w:pPr>
        <w:pStyle w:val="Heading3"/>
      </w:pPr>
      <w:bookmarkStart w:id="30" w:name="_Toc404336648"/>
      <w:r w:rsidRPr="00BA4F53">
        <w:t>Detailed Quantity Reconciliation</w:t>
      </w:r>
      <w:bookmarkEnd w:id="30"/>
    </w:p>
    <w:p w:rsidR="0027446C" w:rsidRPr="0027446C" w:rsidRDefault="0027446C" w:rsidP="0088232F">
      <w:pPr>
        <w:pStyle w:val="BodyText"/>
        <w:keepNext/>
        <w:keepLines/>
      </w:pPr>
      <w:r w:rsidRPr="0027446C">
        <w:t>There are some relatively large quantity differences between the AMEC and AECOM estimates that will need to be investigated during the 60% design phase. The main differences are:</w:t>
      </w:r>
    </w:p>
    <w:p w:rsidR="0027446C" w:rsidRPr="0027446C" w:rsidRDefault="0027446C" w:rsidP="0088232F">
      <w:pPr>
        <w:pStyle w:val="bullet0"/>
        <w:keepNext/>
        <w:keepLines/>
      </w:pPr>
      <w:r w:rsidRPr="0027446C">
        <w:rPr>
          <w:b/>
        </w:rPr>
        <w:t>Tailings</w:t>
      </w:r>
      <w:r w:rsidRPr="0027446C">
        <w:t xml:space="preserve">. The AECOM estimate assumes about 25% more tailings than does the AMEC estimate (300,000 </w:t>
      </w:r>
      <w:proofErr w:type="spellStart"/>
      <w:r w:rsidRPr="0027446C">
        <w:t>m</w:t>
      </w:r>
      <w:r w:rsidRPr="0027446C">
        <w:rPr>
          <w:vertAlign w:val="superscript"/>
        </w:rPr>
        <w:t>3</w:t>
      </w:r>
      <w:proofErr w:type="spellEnd"/>
      <w:r w:rsidRPr="0027446C">
        <w:t xml:space="preserve"> versus 237,000 </w:t>
      </w:r>
      <w:proofErr w:type="spellStart"/>
      <w:r w:rsidRPr="0027446C">
        <w:t>m</w:t>
      </w:r>
      <w:r w:rsidRPr="0027446C">
        <w:rPr>
          <w:vertAlign w:val="superscript"/>
        </w:rPr>
        <w:t>3</w:t>
      </w:r>
      <w:proofErr w:type="spellEnd"/>
      <w:r w:rsidRPr="0027446C">
        <w:t>). This is offset by an AMEC unit cost that is about 40% higher than the AECOM unit rate, bringing the total tailings relocation costs within $0.5</w:t>
      </w:r>
      <w:r>
        <w:t> </w:t>
      </w:r>
      <w:r w:rsidRPr="0027446C">
        <w:t xml:space="preserve">million of one another. </w:t>
      </w:r>
    </w:p>
    <w:p w:rsidR="0027446C" w:rsidRPr="0027446C" w:rsidRDefault="0027446C" w:rsidP="0027446C">
      <w:pPr>
        <w:pStyle w:val="bullet0"/>
      </w:pPr>
      <w:r w:rsidRPr="0027446C">
        <w:rPr>
          <w:b/>
        </w:rPr>
        <w:t>Waste Rock</w:t>
      </w:r>
      <w:r w:rsidRPr="0027446C">
        <w:t>. The total volume of rock ultimately placed in the open pit varies from 344,000</w:t>
      </w:r>
      <w:r>
        <w:t> </w:t>
      </w:r>
      <w:proofErr w:type="spellStart"/>
      <w:r w:rsidRPr="0027446C">
        <w:t>m</w:t>
      </w:r>
      <w:r w:rsidRPr="0027446C">
        <w:rPr>
          <w:vertAlign w:val="superscript"/>
        </w:rPr>
        <w:t>3</w:t>
      </w:r>
      <w:proofErr w:type="spellEnd"/>
      <w:r w:rsidRPr="0027446C">
        <w:t xml:space="preserve"> in the AECOM estimate to almost 525,000 </w:t>
      </w:r>
      <w:proofErr w:type="spellStart"/>
      <w:r w:rsidRPr="0027446C">
        <w:t>m</w:t>
      </w:r>
      <w:r w:rsidRPr="0027446C">
        <w:rPr>
          <w:vertAlign w:val="superscript"/>
        </w:rPr>
        <w:t>3</w:t>
      </w:r>
      <w:proofErr w:type="spellEnd"/>
      <w:r w:rsidRPr="0027446C">
        <w:t xml:space="preserve"> in the AMEC estimate. It is not possible to pinpoint where the differences originate since the AECOM volume is not broke</w:t>
      </w:r>
      <w:r>
        <w:t>n down into source components.</w:t>
      </w:r>
    </w:p>
    <w:p w:rsidR="0027446C" w:rsidRPr="0027446C" w:rsidRDefault="0027446C" w:rsidP="0027446C">
      <w:pPr>
        <w:pStyle w:val="bullet0"/>
      </w:pPr>
      <w:proofErr w:type="spellStart"/>
      <w:r w:rsidRPr="0027446C">
        <w:rPr>
          <w:b/>
        </w:rPr>
        <w:t>TSF</w:t>
      </w:r>
      <w:proofErr w:type="spellEnd"/>
      <w:r w:rsidRPr="0027446C">
        <w:rPr>
          <w:b/>
        </w:rPr>
        <w:t xml:space="preserve"> </w:t>
      </w:r>
      <w:proofErr w:type="spellStart"/>
      <w:r w:rsidRPr="0027446C">
        <w:rPr>
          <w:b/>
        </w:rPr>
        <w:t>Subexcavation</w:t>
      </w:r>
      <w:proofErr w:type="spellEnd"/>
      <w:r w:rsidRPr="0027446C">
        <w:t>.</w:t>
      </w:r>
      <w:r>
        <w:t xml:space="preserve"> </w:t>
      </w:r>
      <w:r w:rsidRPr="0027446C">
        <w:t xml:space="preserve">The volume difference of 40,000 </w:t>
      </w:r>
      <w:proofErr w:type="spellStart"/>
      <w:r w:rsidRPr="0027446C">
        <w:t>m</w:t>
      </w:r>
      <w:r w:rsidRPr="0027446C">
        <w:rPr>
          <w:vertAlign w:val="superscript"/>
        </w:rPr>
        <w:t>3</w:t>
      </w:r>
      <w:proofErr w:type="spellEnd"/>
      <w:r w:rsidRPr="0027446C">
        <w:t xml:space="preserve"> between the two estimates is based mostly on the depth of excavation assumed below the tailings, with another small component originating from differences in assumed footprint areas</w:t>
      </w:r>
      <w:r>
        <w:t>.</w:t>
      </w:r>
    </w:p>
    <w:p w:rsidR="0027446C" w:rsidRPr="0027446C" w:rsidRDefault="0027446C" w:rsidP="0027446C">
      <w:pPr>
        <w:pStyle w:val="bullet0"/>
      </w:pPr>
      <w:r w:rsidRPr="0027446C">
        <w:rPr>
          <w:b/>
        </w:rPr>
        <w:t>Dam Fills</w:t>
      </w:r>
      <w:r w:rsidRPr="0027446C">
        <w:t>.</w:t>
      </w:r>
      <w:r>
        <w:t xml:space="preserve"> </w:t>
      </w:r>
      <w:r w:rsidRPr="0027446C">
        <w:t>The AECOM estimate assumes a dam volume that is about 50% greater than the one used in the AMEC estimate. As with the tailings, the higher unit costs in the AMEC estimate to move that material offsets the lower volumes used and results in total removal costs that are similar between the two estimates (roughly $1.4 million).</w:t>
      </w:r>
    </w:p>
    <w:p w:rsidR="0027446C" w:rsidRPr="0027446C" w:rsidRDefault="0027446C" w:rsidP="0027446C">
      <w:pPr>
        <w:pStyle w:val="bullet0"/>
      </w:pPr>
      <w:r w:rsidRPr="0027446C">
        <w:rPr>
          <w:b/>
        </w:rPr>
        <w:t>Open Pit Cover</w:t>
      </w:r>
      <w:r w:rsidRPr="0027446C">
        <w:t>.</w:t>
      </w:r>
      <w:r>
        <w:t xml:space="preserve"> </w:t>
      </w:r>
      <w:r w:rsidRPr="0027446C">
        <w:t>As indicated in Section 2.4.2, the AECOM and AMEC cover designs are very different. It is</w:t>
      </w:r>
      <w:r>
        <w:t>,</w:t>
      </w:r>
      <w:r w:rsidRPr="0027446C">
        <w:t xml:space="preserve"> therefore</w:t>
      </w:r>
      <w:r>
        <w:t>,</w:t>
      </w:r>
      <w:r w:rsidRPr="0027446C">
        <w:t xml:space="preserve"> not surprising that the quantities for the individual schemes are also very different, with the AMEC cover requiring twice the volume of granular fill materials than the AECOM scheme. In addition, the AMEC cover section includes a clay/plastic composite section of </w:t>
      </w:r>
      <w:proofErr w:type="spellStart"/>
      <w:r w:rsidRPr="0027446C">
        <w:t>geosynthetic</w:t>
      </w:r>
      <w:proofErr w:type="spellEnd"/>
      <w:r w:rsidRPr="0027446C">
        <w:t xml:space="preserve"> materials. Part of the reason for the major differences may be </w:t>
      </w:r>
      <w:r>
        <w:t>the</w:t>
      </w:r>
      <w:r w:rsidRPr="0027446C">
        <w:t xml:space="preserve"> larger footpri</w:t>
      </w:r>
      <w:r>
        <w:t>nt occupied by the AMEC cover.</w:t>
      </w:r>
    </w:p>
    <w:p w:rsidR="001171A4" w:rsidRPr="00BA4F53" w:rsidRDefault="001171A4" w:rsidP="001171A4">
      <w:pPr>
        <w:pStyle w:val="Heading3"/>
      </w:pPr>
      <w:bookmarkStart w:id="31" w:name="_Toc404336649"/>
      <w:r w:rsidRPr="00BA4F53">
        <w:t>Summary Comments</w:t>
      </w:r>
      <w:bookmarkEnd w:id="31"/>
    </w:p>
    <w:p w:rsidR="0027446C" w:rsidRPr="0027446C" w:rsidRDefault="0027446C" w:rsidP="0027446C">
      <w:pPr>
        <w:pStyle w:val="BodyText"/>
      </w:pPr>
      <w:r w:rsidRPr="0027446C">
        <w:t xml:space="preserve">As a consequence of the above reconciliation findings, important action items during </w:t>
      </w:r>
      <w:r w:rsidR="007F36E5">
        <w:t>subsequent reviews or</w:t>
      </w:r>
      <w:r>
        <w:t xml:space="preserve"> design development</w:t>
      </w:r>
      <w:r w:rsidRPr="0027446C">
        <w:t xml:space="preserve"> will include:</w:t>
      </w:r>
    </w:p>
    <w:p w:rsidR="0027446C" w:rsidRPr="0027446C" w:rsidRDefault="0027446C" w:rsidP="0027446C">
      <w:pPr>
        <w:pStyle w:val="bullet0"/>
      </w:pPr>
      <w:r w:rsidRPr="0027446C">
        <w:rPr>
          <w:b/>
        </w:rPr>
        <w:t>Scope of work</w:t>
      </w:r>
      <w:r w:rsidRPr="0027446C">
        <w:t>. It will be important to address more specifically the assumed contractor methodology to remove the tailings and relocate them to the pit (in particular the need for dewatering and waste rock mixing), cla</w:t>
      </w:r>
      <w:r w:rsidR="0088232F">
        <w:t>rify the expectations from the Project P</w:t>
      </w:r>
      <w:r w:rsidRPr="0027446C">
        <w:t xml:space="preserve">artners with regards to final </w:t>
      </w:r>
      <w:proofErr w:type="spellStart"/>
      <w:r w:rsidRPr="0027446C">
        <w:t>landforming</w:t>
      </w:r>
      <w:proofErr w:type="spellEnd"/>
      <w:r w:rsidRPr="0027446C">
        <w:t xml:space="preserve"> and </w:t>
      </w:r>
      <w:proofErr w:type="spellStart"/>
      <w:r w:rsidRPr="0027446C">
        <w:t>revegetation</w:t>
      </w:r>
      <w:proofErr w:type="spellEnd"/>
      <w:r w:rsidRPr="0027446C">
        <w:t xml:space="preserve">, confirm the need for rock armouring </w:t>
      </w:r>
      <w:r w:rsidR="0023681E">
        <w:t>within</w:t>
      </w:r>
      <w:r w:rsidRPr="0027446C">
        <w:t xml:space="preserve"> the </w:t>
      </w:r>
      <w:proofErr w:type="spellStart"/>
      <w:r w:rsidRPr="0027446C">
        <w:t>TSF</w:t>
      </w:r>
      <w:proofErr w:type="spellEnd"/>
      <w:r w:rsidRPr="0027446C">
        <w:t xml:space="preserve"> footprint, look more closely at water treatment options (including adjustments to the </w:t>
      </w:r>
      <w:r w:rsidRPr="0027446C">
        <w:lastRenderedPageBreak/>
        <w:t>project construction schedule to reduce treatment rates</w:t>
      </w:r>
      <w:r w:rsidR="0088232F">
        <w:t>), and agree on an Open P</w:t>
      </w:r>
      <w:r w:rsidRPr="0027446C">
        <w:t xml:space="preserve">it cover section that “better” reflects the quality of backfilled rock and tailings placed beneath it. </w:t>
      </w:r>
    </w:p>
    <w:p w:rsidR="0027446C" w:rsidRPr="0027446C" w:rsidRDefault="0027446C" w:rsidP="0088232F">
      <w:pPr>
        <w:pStyle w:val="bullet0"/>
        <w:keepNext/>
        <w:keepLines/>
      </w:pPr>
      <w:r w:rsidRPr="0027446C">
        <w:rPr>
          <w:b/>
        </w:rPr>
        <w:t>Quantities</w:t>
      </w:r>
      <w:r w:rsidRPr="0027446C">
        <w:t xml:space="preserve">. Confirming </w:t>
      </w:r>
      <w:r w:rsidR="001757DF" w:rsidRPr="0027446C">
        <w:t>quantities</w:t>
      </w:r>
      <w:r w:rsidRPr="0027446C">
        <w:t xml:space="preserve"> to the greatest accuracy possible will be very important because of the ripple effect those quantities have throughout the estimate and construction schedule. Unlike costs which are based on more subjective estimator assumptions, developing accurate quantities should be a more straightforward action that definitively removes uncertainty from the overall project estimate and schedule.</w:t>
      </w:r>
    </w:p>
    <w:p w:rsidR="0027446C" w:rsidRPr="0027446C" w:rsidRDefault="0059054E" w:rsidP="0027446C">
      <w:pPr>
        <w:pStyle w:val="bullet0"/>
      </w:pPr>
      <w:r>
        <w:rPr>
          <w:b/>
        </w:rPr>
        <w:t>Unit Prices</w:t>
      </w:r>
      <w:r w:rsidR="0027446C" w:rsidRPr="0027446C">
        <w:t xml:space="preserve">. </w:t>
      </w:r>
      <w:r>
        <w:t>Pricing is a function of the assumed quantities, execution method and schedule, and so, as a largely dependent variable, may have less prominence in future estimate developments and reviews. However, pricing will nonetheless be an important consideration, particularly for those items subject to uncertainties relating to quantities and methods</w:t>
      </w:r>
      <w:r w:rsidR="0027446C" w:rsidRPr="0027446C">
        <w:t xml:space="preserve">. </w:t>
      </w:r>
    </w:p>
    <w:p w:rsidR="0027446C" w:rsidRPr="0027446C" w:rsidRDefault="0027446C" w:rsidP="0027446C">
      <w:pPr>
        <w:pStyle w:val="bullet0"/>
      </w:pPr>
      <w:r w:rsidRPr="0027446C">
        <w:rPr>
          <w:b/>
        </w:rPr>
        <w:t>Project Schedule</w:t>
      </w:r>
      <w:r w:rsidRPr="0027446C">
        <w:t xml:space="preserve">. Schedule activities are driven by quantities of work and estimator productivity assumptions. Although few changes are expected in the project schedule at this time, assuming an earlier start in Season #1 and a relook at possible multi-shifting in earlier years may provide some opportunities for cost reductions. </w:t>
      </w:r>
    </w:p>
    <w:p w:rsidR="001171A4" w:rsidRPr="00BA4F53" w:rsidRDefault="001171A4" w:rsidP="00E22F81">
      <w:pPr>
        <w:pStyle w:val="BodyText"/>
      </w:pPr>
    </w:p>
    <w:p w:rsidR="00C27AB1" w:rsidRPr="00BA4F53" w:rsidRDefault="00C27AB1">
      <w:pPr>
        <w:jc w:val="left"/>
        <w:rPr>
          <w:rFonts w:cs="Arial"/>
          <w:szCs w:val="22"/>
        </w:rPr>
      </w:pPr>
      <w:r w:rsidRPr="00BA4F53">
        <w:br w:type="page"/>
      </w:r>
    </w:p>
    <w:p w:rsidR="00EC1CDA" w:rsidRPr="00BA4F53" w:rsidRDefault="001171A4" w:rsidP="002A60F5">
      <w:pPr>
        <w:pStyle w:val="Heading1"/>
      </w:pPr>
      <w:bookmarkStart w:id="32" w:name="_Toc404336650"/>
      <w:r w:rsidRPr="00BA4F53">
        <w:lastRenderedPageBreak/>
        <w:t>Estimate Assumptions</w:t>
      </w:r>
      <w:bookmarkEnd w:id="32"/>
    </w:p>
    <w:p w:rsidR="00EC1CDA" w:rsidRPr="00BA4F53" w:rsidRDefault="001171A4" w:rsidP="00C27AB1">
      <w:pPr>
        <w:pStyle w:val="Heading2"/>
      </w:pPr>
      <w:bookmarkStart w:id="33" w:name="_Toc404336651"/>
      <w:r w:rsidRPr="00BA4F53">
        <w:t>Review Scope and Objectives</w:t>
      </w:r>
      <w:bookmarkEnd w:id="33"/>
    </w:p>
    <w:p w:rsidR="001171A4" w:rsidRPr="00BA4F53" w:rsidRDefault="001171A4" w:rsidP="001171A4">
      <w:pPr>
        <w:pStyle w:val="BodyText"/>
      </w:pPr>
      <w:bookmarkStart w:id="34" w:name="_Toc393442601"/>
      <w:r w:rsidRPr="00BA4F53">
        <w:t>This component of the estimate review is intended to identify any changes to key estimate assumptions that might be defended based on design developments post Phase 1, or based on reconsideration of the Phase 1 estimate variables. The focus is on scope areas where uncertainties relating to project requirements and/or outcomes are thought to be significant and where, as a consequence, there is a comparatively wide range in possible estimate assumptions that strongly influence the final estimate.</w:t>
      </w:r>
    </w:p>
    <w:p w:rsidR="001171A4" w:rsidRPr="00BA4F53" w:rsidRDefault="001171A4" w:rsidP="001171A4">
      <w:pPr>
        <w:pStyle w:val="Heading2"/>
      </w:pPr>
      <w:bookmarkStart w:id="35" w:name="_Toc404336652"/>
      <w:r w:rsidRPr="00BA4F53">
        <w:t>Key Scope Areas</w:t>
      </w:r>
      <w:r w:rsidR="003A1CFF">
        <w:t xml:space="preserve"> and Alternate Assumptions</w:t>
      </w:r>
      <w:bookmarkEnd w:id="35"/>
    </w:p>
    <w:p w:rsidR="001171A4" w:rsidRPr="00BA4F53" w:rsidRDefault="00AF2EEF" w:rsidP="001171A4">
      <w:pPr>
        <w:pStyle w:val="BodyText"/>
      </w:pPr>
      <w:r w:rsidRPr="00BA4F53">
        <w:t xml:space="preserve">Table 3.2-1 provides a summary of key project scope areas and the influence of assumptions applied in these areas on the cost estimate. </w:t>
      </w:r>
      <w:r w:rsidR="004E15CD" w:rsidRPr="00BA4F53">
        <w:t xml:space="preserve">This table focuses on those elements of the project that are known to carry significant uncertainty with respect to scope and/or execution method(s) and that, given their nature and/or scale, are likely to have significant influences on total project costs. </w:t>
      </w:r>
      <w:r w:rsidRPr="00BA4F53">
        <w:t>The table also provides broad characterizations of the level of conservatism reflected in assumptions, and outlines alternate assumptions that will be considered in the cost sensitivity assessment (Section 4).</w:t>
      </w:r>
    </w:p>
    <w:p w:rsidR="004E15CD" w:rsidRPr="00BA4F53" w:rsidRDefault="004E15CD" w:rsidP="001171A4">
      <w:pPr>
        <w:pStyle w:val="BodyText"/>
      </w:pPr>
      <w:r w:rsidRPr="00BA4F53">
        <w:t xml:space="preserve">It should be noted that estimate changes resulting from the alternate assumptions in Table 3.2-1 are outside of the normal estimating tolerance that would be associated with an </w:t>
      </w:r>
      <w:proofErr w:type="spellStart"/>
      <w:r w:rsidRPr="00BA4F53">
        <w:t>AACE</w:t>
      </w:r>
      <w:proofErr w:type="spellEnd"/>
      <w:r w:rsidRPr="00BA4F53">
        <w:t xml:space="preserve"> (Association for Advancement of Cost Engineering) Class 3 estimate (typically -15 to +25%). These alternate assumptions are intended to focus on scope and/or execution method changes, rather than the normal estimating variance that would apply to a defined scope.</w:t>
      </w:r>
    </w:p>
    <w:p w:rsidR="001171A4" w:rsidRPr="00BA4F53" w:rsidRDefault="001171A4" w:rsidP="001171A4">
      <w:pPr>
        <w:pStyle w:val="Heading2"/>
      </w:pPr>
      <w:bookmarkStart w:id="36" w:name="_Toc404336653"/>
      <w:r w:rsidRPr="00BA4F53">
        <w:t>Review Limitations</w:t>
      </w:r>
      <w:bookmarkEnd w:id="36"/>
    </w:p>
    <w:p w:rsidR="001171A4" w:rsidRPr="00BA4F53" w:rsidRDefault="002E5B09" w:rsidP="001171A4">
      <w:pPr>
        <w:pStyle w:val="BodyText"/>
      </w:pPr>
      <w:r w:rsidRPr="00BA4F53">
        <w:t>It is important to recognize some of the limitations to, and/or constraints on, any re-examination of estimate assumptions undertaken at this stage. Design development activity has not progressed materially post Phase 1 (other than the conduct of a supplementary Site Investigation Program in the summer of 2014</w:t>
      </w:r>
      <w:r w:rsidR="00E6154D">
        <w:t xml:space="preserve"> (AMEC, </w:t>
      </w:r>
      <w:proofErr w:type="spellStart"/>
      <w:r w:rsidR="00E6154D">
        <w:t>2014a</w:t>
      </w:r>
      <w:proofErr w:type="spellEnd"/>
      <w:r w:rsidR="00E6154D">
        <w:t>)</w:t>
      </w:r>
      <w:r w:rsidRPr="00BA4F53">
        <w:t>), so that the outcomes of the more detailed consideration</w:t>
      </w:r>
      <w:r w:rsidR="00E6154D">
        <w:t>s</w:t>
      </w:r>
      <w:r w:rsidRPr="00BA4F53">
        <w:t xml:space="preserve"> of key project variables that </w:t>
      </w:r>
      <w:r w:rsidR="0023681E">
        <w:t>are</w:t>
      </w:r>
      <w:r w:rsidRPr="00BA4F53">
        <w:t xml:space="preserve"> contemplated for Phase 2 are not yet available. This will limit the range of assumption variations that can be supported technically.</w:t>
      </w:r>
    </w:p>
    <w:p w:rsidR="002E5B09" w:rsidRPr="00BA4F53" w:rsidRDefault="002E5B09" w:rsidP="001171A4">
      <w:pPr>
        <w:pStyle w:val="BodyText"/>
      </w:pPr>
      <w:r w:rsidRPr="00BA4F53">
        <w:t xml:space="preserve">In addition, it will be important to avoid any tendency to preferentially select optimistic estimating assumptions with a view towards reducing the resulting estimate. </w:t>
      </w:r>
      <w:r w:rsidR="005611C8" w:rsidRPr="00BA4F53">
        <w:t>Reviews that consistently bias assumption selection so as to reduce the estimate in those key scope areas that carry significant uncertainty (and, therefore, have a relatively wide range of possible estimate assumptions) is arbitrary, unsupported technically and will produce a revision to the estimate with little real meaning.</w:t>
      </w:r>
    </w:p>
    <w:p w:rsidR="001171A4" w:rsidRPr="00BA4F53" w:rsidRDefault="001171A4" w:rsidP="001171A4">
      <w:pPr>
        <w:pStyle w:val="BodyText"/>
      </w:pPr>
    </w:p>
    <w:p w:rsidR="00C93480" w:rsidRPr="00BA4F53" w:rsidRDefault="00C93480" w:rsidP="001171A4">
      <w:pPr>
        <w:pStyle w:val="BodyText"/>
        <w:sectPr w:rsidR="00C93480" w:rsidRPr="00BA4F53" w:rsidSect="00A2763D">
          <w:footerReference w:type="default" r:id="rId19"/>
          <w:pgSz w:w="12240" w:h="15840" w:code="1"/>
          <w:pgMar w:top="720" w:right="1296" w:bottom="720" w:left="1296" w:header="720" w:footer="720" w:gutter="0"/>
          <w:pgNumType w:start="1"/>
          <w:cols w:space="720"/>
        </w:sectPr>
      </w:pPr>
    </w:p>
    <w:p w:rsidR="001171A4" w:rsidRPr="00BA4F53" w:rsidRDefault="00C93480" w:rsidP="00746091">
      <w:pPr>
        <w:pStyle w:val="Table"/>
      </w:pPr>
      <w:bookmarkStart w:id="37" w:name="_Toc406511631"/>
      <w:r w:rsidRPr="00BA4F53">
        <w:lastRenderedPageBreak/>
        <w:t>Table 3.2-1:  Summary of Key Estimating Assumptions</w:t>
      </w:r>
      <w:bookmarkEnd w:id="37"/>
    </w:p>
    <w:tbl>
      <w:tblPr>
        <w:tblStyle w:val="TableGrid"/>
        <w:tblW w:w="13320" w:type="dxa"/>
        <w:tblInd w:w="-5" w:type="dxa"/>
        <w:tblLook w:val="04A0" w:firstRow="1" w:lastRow="0" w:firstColumn="1" w:lastColumn="0" w:noHBand="0" w:noVBand="1"/>
      </w:tblPr>
      <w:tblGrid>
        <w:gridCol w:w="3214"/>
        <w:gridCol w:w="3276"/>
        <w:gridCol w:w="3276"/>
        <w:gridCol w:w="3554"/>
      </w:tblGrid>
      <w:tr w:rsidR="00C93480" w:rsidRPr="00BA4F53" w:rsidTr="00776D35">
        <w:trPr>
          <w:tblHeader/>
        </w:trPr>
        <w:tc>
          <w:tcPr>
            <w:tcW w:w="3214" w:type="dxa"/>
            <w:vAlign w:val="center"/>
          </w:tcPr>
          <w:p w:rsidR="00C93480" w:rsidRPr="00BA4F53" w:rsidRDefault="00C93480" w:rsidP="00BF4ABE">
            <w:pPr>
              <w:pStyle w:val="BodyText"/>
              <w:spacing w:before="26" w:after="26"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Key Scope Area</w:t>
            </w:r>
          </w:p>
        </w:tc>
        <w:tc>
          <w:tcPr>
            <w:tcW w:w="3276" w:type="dxa"/>
            <w:vAlign w:val="center"/>
          </w:tcPr>
          <w:p w:rsidR="00C93480" w:rsidRPr="00BA4F53" w:rsidRDefault="00C93480" w:rsidP="00BF4ABE">
            <w:pPr>
              <w:pStyle w:val="BodyText"/>
              <w:spacing w:before="26" w:after="26"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Basis of Phase 1 Estimate</w:t>
            </w:r>
          </w:p>
        </w:tc>
        <w:tc>
          <w:tcPr>
            <w:tcW w:w="3276" w:type="dxa"/>
            <w:vAlign w:val="center"/>
          </w:tcPr>
          <w:p w:rsidR="00C93480" w:rsidRPr="00BA4F53" w:rsidRDefault="00C93480" w:rsidP="00BF4ABE">
            <w:pPr>
              <w:pStyle w:val="BodyText"/>
              <w:spacing w:before="26" w:after="26"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Characterization of Phase 1 Assumptions</w:t>
            </w:r>
          </w:p>
        </w:tc>
        <w:tc>
          <w:tcPr>
            <w:tcW w:w="3554" w:type="dxa"/>
            <w:vAlign w:val="center"/>
          </w:tcPr>
          <w:p w:rsidR="00C93480" w:rsidRPr="00BA4F53" w:rsidRDefault="00C93480" w:rsidP="00BF4ABE">
            <w:pPr>
              <w:pStyle w:val="BodyText"/>
              <w:spacing w:before="26" w:after="26"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Potential Range of Assumption Adjustments</w:t>
            </w:r>
          </w:p>
        </w:tc>
      </w:tr>
      <w:tr w:rsidR="003E19B5" w:rsidRPr="00BA4F53" w:rsidTr="00776D35">
        <w:tc>
          <w:tcPr>
            <w:tcW w:w="13320" w:type="dxa"/>
            <w:gridSpan w:val="4"/>
            <w:vAlign w:val="center"/>
          </w:tcPr>
          <w:p w:rsidR="003E19B5" w:rsidRPr="00BA4F53" w:rsidRDefault="00ED7781" w:rsidP="003E19B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t xml:space="preserve">1.  </w:t>
            </w:r>
            <w:r w:rsidR="003E19B5" w:rsidRPr="00BA4F53">
              <w:rPr>
                <w:rFonts w:asciiTheme="minorHAnsi" w:hAnsiTheme="minorHAnsi" w:cstheme="minorHAnsi"/>
                <w:b/>
                <w:sz w:val="18"/>
                <w:szCs w:val="18"/>
              </w:rPr>
              <w:t>Civil Quantities</w:t>
            </w:r>
          </w:p>
        </w:tc>
      </w:tr>
      <w:tr w:rsidR="003E19B5" w:rsidRPr="00BA4F53" w:rsidTr="00776D35">
        <w:tc>
          <w:tcPr>
            <w:tcW w:w="3214" w:type="dxa"/>
          </w:tcPr>
          <w:p w:rsidR="003E19B5" w:rsidRPr="00BA4F53" w:rsidRDefault="003E19B5" w:rsidP="00CE7C7A">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Civil quantities refers to the large volume material categories that will require movement and/or handling to affect remediation, specifically:</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w:t>
            </w:r>
            <w:r w:rsidR="003E19B5" w:rsidRPr="00BA4F53">
              <w:rPr>
                <w:rFonts w:asciiTheme="minorHAnsi" w:hAnsiTheme="minorHAnsi" w:cstheme="minorHAnsi"/>
                <w:sz w:val="18"/>
                <w:szCs w:val="18"/>
              </w:rPr>
              <w:t>ailings;</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D</w:t>
            </w:r>
            <w:r w:rsidR="003E19B5" w:rsidRPr="00BA4F53">
              <w:rPr>
                <w:rFonts w:asciiTheme="minorHAnsi" w:hAnsiTheme="minorHAnsi" w:cstheme="minorHAnsi"/>
                <w:sz w:val="18"/>
                <w:szCs w:val="18"/>
              </w:rPr>
              <w:t>am fill;</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W</w:t>
            </w:r>
            <w:r w:rsidR="003E19B5" w:rsidRPr="00BA4F53">
              <w:rPr>
                <w:rFonts w:asciiTheme="minorHAnsi" w:hAnsiTheme="minorHAnsi" w:cstheme="minorHAnsi"/>
                <w:sz w:val="18"/>
                <w:szCs w:val="18"/>
              </w:rPr>
              <w:t>aste rock; and</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C</w:t>
            </w:r>
            <w:r w:rsidR="003E19B5" w:rsidRPr="00BA4F53">
              <w:rPr>
                <w:rFonts w:asciiTheme="minorHAnsi" w:hAnsiTheme="minorHAnsi" w:cstheme="minorHAnsi"/>
                <w:sz w:val="18"/>
                <w:szCs w:val="18"/>
              </w:rPr>
              <w:t>ontaminated soils and rock</w:t>
            </w:r>
          </w:p>
          <w:p w:rsidR="003E19B5" w:rsidRPr="00BA4F53" w:rsidRDefault="003E19B5" w:rsidP="00ED3422">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To a large degree, remediation for the </w:t>
            </w:r>
            <w:r w:rsidR="0023681E">
              <w:rPr>
                <w:rFonts w:asciiTheme="minorHAnsi" w:hAnsiTheme="minorHAnsi" w:cstheme="minorHAnsi"/>
                <w:sz w:val="18"/>
                <w:szCs w:val="18"/>
              </w:rPr>
              <w:t xml:space="preserve">Mount </w:t>
            </w:r>
            <w:r w:rsidRPr="00BA4F53">
              <w:rPr>
                <w:rFonts w:asciiTheme="minorHAnsi" w:hAnsiTheme="minorHAnsi" w:cstheme="minorHAnsi"/>
                <w:sz w:val="18"/>
                <w:szCs w:val="18"/>
              </w:rPr>
              <w:t xml:space="preserve">Nansen property means relocation of these key material categories (i.e. civil materials management and remediation are, to a large degree, the same thing), </w:t>
            </w:r>
            <w:r w:rsidR="00ED3422" w:rsidRPr="00BA4F53">
              <w:rPr>
                <w:rFonts w:asciiTheme="minorHAnsi" w:hAnsiTheme="minorHAnsi" w:cstheme="minorHAnsi"/>
                <w:sz w:val="18"/>
                <w:szCs w:val="18"/>
              </w:rPr>
              <w:t>meaning that</w:t>
            </w:r>
            <w:r w:rsidRPr="00BA4F53">
              <w:rPr>
                <w:rFonts w:asciiTheme="minorHAnsi" w:hAnsiTheme="minorHAnsi" w:cstheme="minorHAnsi"/>
                <w:sz w:val="18"/>
                <w:szCs w:val="18"/>
              </w:rPr>
              <w:t xml:space="preserve"> the quantity estimates for these </w:t>
            </w:r>
            <w:r w:rsidR="000332F9" w:rsidRPr="00BA4F53">
              <w:rPr>
                <w:rFonts w:asciiTheme="minorHAnsi" w:hAnsiTheme="minorHAnsi" w:cstheme="minorHAnsi"/>
                <w:sz w:val="18"/>
                <w:szCs w:val="18"/>
              </w:rPr>
              <w:t>material categories have</w:t>
            </w:r>
            <w:r w:rsidRPr="00BA4F53">
              <w:rPr>
                <w:rFonts w:asciiTheme="minorHAnsi" w:hAnsiTheme="minorHAnsi" w:cstheme="minorHAnsi"/>
                <w:sz w:val="18"/>
                <w:szCs w:val="18"/>
              </w:rPr>
              <w:t xml:space="preserve"> a major influence on the estimate.</w:t>
            </w:r>
          </w:p>
        </w:tc>
        <w:tc>
          <w:tcPr>
            <w:tcW w:w="3276" w:type="dxa"/>
          </w:tcPr>
          <w:p w:rsidR="003E19B5" w:rsidRPr="00BA4F53" w:rsidRDefault="003E19B5" w:rsidP="00CE7C7A">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civil quantity estimates were developed using contemporary civil software (</w:t>
            </w:r>
            <w:r w:rsidR="00ED7781" w:rsidRPr="00BA4F53">
              <w:rPr>
                <w:rFonts w:asciiTheme="minorHAnsi" w:hAnsiTheme="minorHAnsi" w:cstheme="minorHAnsi"/>
                <w:sz w:val="18"/>
                <w:szCs w:val="18"/>
              </w:rPr>
              <w:t xml:space="preserve">AutoCAD and </w:t>
            </w:r>
            <w:proofErr w:type="spellStart"/>
            <w:r w:rsidR="00ED7781" w:rsidRPr="00BA4F53">
              <w:rPr>
                <w:rFonts w:asciiTheme="minorHAnsi" w:hAnsiTheme="minorHAnsi" w:cstheme="minorHAnsi"/>
                <w:sz w:val="18"/>
                <w:szCs w:val="18"/>
              </w:rPr>
              <w:t>Eaglepoint</w:t>
            </w:r>
            <w:proofErr w:type="spellEnd"/>
            <w:r w:rsidRPr="00BA4F53">
              <w:rPr>
                <w:rFonts w:asciiTheme="minorHAnsi" w:hAnsiTheme="minorHAnsi" w:cstheme="minorHAnsi"/>
                <w:sz w:val="18"/>
                <w:szCs w:val="18"/>
              </w:rPr>
              <w:t xml:space="preserve">) and the site topographic and </w:t>
            </w:r>
            <w:proofErr w:type="spellStart"/>
            <w:r w:rsidRPr="00BA4F53">
              <w:rPr>
                <w:rFonts w:asciiTheme="minorHAnsi" w:hAnsiTheme="minorHAnsi" w:cstheme="minorHAnsi"/>
                <w:sz w:val="18"/>
                <w:szCs w:val="18"/>
              </w:rPr>
              <w:t>LiDAR</w:t>
            </w:r>
            <w:proofErr w:type="spellEnd"/>
            <w:r w:rsidRPr="00BA4F53">
              <w:rPr>
                <w:rFonts w:asciiTheme="minorHAnsi" w:hAnsiTheme="minorHAnsi" w:cstheme="minorHAnsi"/>
                <w:sz w:val="18"/>
                <w:szCs w:val="18"/>
              </w:rPr>
              <w:t xml:space="preserve"> data available (</w:t>
            </w:r>
            <w:r w:rsidR="00ED7781" w:rsidRPr="00BA4F53">
              <w:rPr>
                <w:rFonts w:asciiTheme="minorHAnsi" w:hAnsiTheme="minorHAnsi" w:cstheme="minorHAnsi"/>
                <w:sz w:val="18"/>
                <w:szCs w:val="18"/>
              </w:rPr>
              <w:t xml:space="preserve">Canada Digital </w:t>
            </w:r>
            <w:r w:rsidR="00252CCB" w:rsidRPr="00BA4F53">
              <w:rPr>
                <w:rFonts w:asciiTheme="minorHAnsi" w:hAnsiTheme="minorHAnsi" w:cstheme="minorHAnsi"/>
                <w:sz w:val="18"/>
                <w:szCs w:val="18"/>
              </w:rPr>
              <w:t>Elevation</w:t>
            </w:r>
            <w:r w:rsidR="00ED7781" w:rsidRPr="00BA4F53">
              <w:rPr>
                <w:rFonts w:asciiTheme="minorHAnsi" w:hAnsiTheme="minorHAnsi" w:cstheme="minorHAnsi"/>
                <w:sz w:val="18"/>
                <w:szCs w:val="18"/>
              </w:rPr>
              <w:t xml:space="preserve"> Data (</w:t>
            </w:r>
            <w:proofErr w:type="spellStart"/>
            <w:r w:rsidR="00ED7781" w:rsidRPr="00BA4F53">
              <w:rPr>
                <w:rFonts w:asciiTheme="minorHAnsi" w:hAnsiTheme="minorHAnsi" w:cstheme="minorHAnsi"/>
                <w:sz w:val="18"/>
                <w:szCs w:val="18"/>
              </w:rPr>
              <w:t>CDED</w:t>
            </w:r>
            <w:proofErr w:type="spellEnd"/>
            <w:r w:rsidR="00ED7781" w:rsidRPr="00BA4F53">
              <w:rPr>
                <w:rFonts w:asciiTheme="minorHAnsi" w:hAnsiTheme="minorHAnsi" w:cstheme="minorHAnsi"/>
                <w:sz w:val="18"/>
                <w:szCs w:val="18"/>
              </w:rPr>
              <w:t xml:space="preserve">) topo and </w:t>
            </w:r>
            <w:proofErr w:type="spellStart"/>
            <w:r w:rsidR="00ED7781" w:rsidRPr="00BA4F53">
              <w:rPr>
                <w:rFonts w:asciiTheme="minorHAnsi" w:hAnsiTheme="minorHAnsi" w:cstheme="minorHAnsi"/>
                <w:sz w:val="18"/>
                <w:szCs w:val="18"/>
              </w:rPr>
              <w:t>AAM</w:t>
            </w:r>
            <w:proofErr w:type="spellEnd"/>
            <w:r w:rsidR="00ED7781" w:rsidRPr="00BA4F53">
              <w:rPr>
                <w:rFonts w:asciiTheme="minorHAnsi" w:hAnsiTheme="minorHAnsi" w:cstheme="minorHAnsi"/>
                <w:sz w:val="18"/>
                <w:szCs w:val="18"/>
              </w:rPr>
              <w:t xml:space="preserve"> supplied </w:t>
            </w:r>
            <w:proofErr w:type="spellStart"/>
            <w:r w:rsidR="00ED7781" w:rsidRPr="00BA4F53">
              <w:rPr>
                <w:rFonts w:asciiTheme="minorHAnsi" w:hAnsiTheme="minorHAnsi" w:cstheme="minorHAnsi"/>
                <w:sz w:val="18"/>
                <w:szCs w:val="18"/>
              </w:rPr>
              <w:t>LiDAR</w:t>
            </w:r>
            <w:proofErr w:type="spellEnd"/>
            <w:r w:rsidR="00ED7781" w:rsidRPr="00BA4F53">
              <w:rPr>
                <w:rFonts w:asciiTheme="minorHAnsi" w:hAnsiTheme="minorHAnsi" w:cstheme="minorHAnsi"/>
                <w:sz w:val="18"/>
                <w:szCs w:val="18"/>
              </w:rPr>
              <w:t xml:space="preserve"> survey</w:t>
            </w:r>
            <w:r w:rsidRPr="00BA4F53">
              <w:rPr>
                <w:rFonts w:asciiTheme="minorHAnsi" w:hAnsiTheme="minorHAnsi" w:cstheme="minorHAnsi"/>
                <w:sz w:val="18"/>
                <w:szCs w:val="18"/>
              </w:rPr>
              <w:t>). Some key inputs to this process relied on interpretations and/or judgements about the physical extents of particular material categories, namely:</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w:t>
            </w:r>
            <w:r w:rsidR="003E19B5" w:rsidRPr="00BA4F53">
              <w:rPr>
                <w:rFonts w:asciiTheme="minorHAnsi" w:hAnsiTheme="minorHAnsi" w:cstheme="minorHAnsi"/>
                <w:sz w:val="18"/>
                <w:szCs w:val="18"/>
              </w:rPr>
              <w:t>he base of the tailings;</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w:t>
            </w:r>
            <w:r w:rsidR="003E19B5" w:rsidRPr="00BA4F53">
              <w:rPr>
                <w:rFonts w:asciiTheme="minorHAnsi" w:hAnsiTheme="minorHAnsi" w:cstheme="minorHAnsi"/>
                <w:sz w:val="18"/>
                <w:szCs w:val="18"/>
              </w:rPr>
              <w:t>he limits of contaminated sand fill;</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w:t>
            </w:r>
            <w:r w:rsidR="003E19B5" w:rsidRPr="00BA4F53">
              <w:rPr>
                <w:rFonts w:asciiTheme="minorHAnsi" w:hAnsiTheme="minorHAnsi" w:cstheme="minorHAnsi"/>
                <w:sz w:val="18"/>
                <w:szCs w:val="18"/>
              </w:rPr>
              <w:t xml:space="preserve">he depth of contamination below the </w:t>
            </w:r>
            <w:proofErr w:type="spellStart"/>
            <w:r w:rsidR="003E19B5" w:rsidRPr="00BA4F53">
              <w:rPr>
                <w:rFonts w:asciiTheme="minorHAnsi" w:hAnsiTheme="minorHAnsi" w:cstheme="minorHAnsi"/>
                <w:sz w:val="18"/>
                <w:szCs w:val="18"/>
              </w:rPr>
              <w:t>TSF</w:t>
            </w:r>
            <w:proofErr w:type="spellEnd"/>
            <w:r w:rsidR="003E19B5" w:rsidRPr="00BA4F53">
              <w:rPr>
                <w:rFonts w:asciiTheme="minorHAnsi" w:hAnsiTheme="minorHAnsi" w:cstheme="minorHAnsi"/>
                <w:sz w:val="18"/>
                <w:szCs w:val="18"/>
              </w:rPr>
              <w:t xml:space="preserve"> footprint;</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w:t>
            </w:r>
            <w:r w:rsidR="003E19B5" w:rsidRPr="00BA4F53">
              <w:rPr>
                <w:rFonts w:asciiTheme="minorHAnsi" w:hAnsiTheme="minorHAnsi" w:cstheme="minorHAnsi"/>
                <w:sz w:val="18"/>
                <w:szCs w:val="18"/>
              </w:rPr>
              <w:t>he limits of contaminated soils and rocks in the mill area; and</w:t>
            </w:r>
          </w:p>
          <w:p w:rsidR="003E19B5"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w:t>
            </w:r>
            <w:r w:rsidR="003E19B5" w:rsidRPr="00BA4F53">
              <w:rPr>
                <w:rFonts w:asciiTheme="minorHAnsi" w:hAnsiTheme="minorHAnsi" w:cstheme="minorHAnsi"/>
                <w:sz w:val="18"/>
                <w:szCs w:val="18"/>
              </w:rPr>
              <w:t>he extent of tailings movement and deposition within the Dome Cree</w:t>
            </w:r>
            <w:r w:rsidR="00E6154D">
              <w:rPr>
                <w:rFonts w:asciiTheme="minorHAnsi" w:hAnsiTheme="minorHAnsi" w:cstheme="minorHAnsi"/>
                <w:sz w:val="18"/>
                <w:szCs w:val="18"/>
              </w:rPr>
              <w:t>k valley outside the immediate</w:t>
            </w:r>
            <w:r w:rsidR="003E19B5" w:rsidRPr="00BA4F53">
              <w:rPr>
                <w:rFonts w:asciiTheme="minorHAnsi" w:hAnsiTheme="minorHAnsi" w:cstheme="minorHAnsi"/>
                <w:sz w:val="18"/>
                <w:szCs w:val="18"/>
              </w:rPr>
              <w:t xml:space="preserve"> limits of the </w:t>
            </w:r>
            <w:proofErr w:type="spellStart"/>
            <w:r w:rsidR="003E19B5" w:rsidRPr="00BA4F53">
              <w:rPr>
                <w:rFonts w:asciiTheme="minorHAnsi" w:hAnsiTheme="minorHAnsi" w:cstheme="minorHAnsi"/>
                <w:sz w:val="18"/>
                <w:szCs w:val="18"/>
              </w:rPr>
              <w:t>TSF</w:t>
            </w:r>
            <w:proofErr w:type="spellEnd"/>
            <w:r w:rsidR="003E19B5" w:rsidRPr="00BA4F53">
              <w:rPr>
                <w:rFonts w:asciiTheme="minorHAnsi" w:hAnsiTheme="minorHAnsi" w:cstheme="minorHAnsi"/>
                <w:sz w:val="18"/>
                <w:szCs w:val="18"/>
              </w:rPr>
              <w:t>.</w:t>
            </w:r>
          </w:p>
        </w:tc>
        <w:tc>
          <w:tcPr>
            <w:tcW w:w="3276" w:type="dxa"/>
          </w:tcPr>
          <w:p w:rsidR="003E19B5" w:rsidRPr="00BA4F53" w:rsidRDefault="003E19B5" w:rsidP="000332F9">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Generally speaking, AMEC’s assumptions about the physical extents of material categories that are poorly understood were in the middle of the range of possible assumptions. There is more than a small probability that the actual material limits could combine in ways that reduce the total materials handling liability. Of course, this observation goes both ways, and volumes could increase. In addition, the 2014 SI work (i.e. post Phase 1) suggests that contaminated sediment impacts in the Dome Creek valley beyond the </w:t>
            </w:r>
            <w:proofErr w:type="spellStart"/>
            <w:r w:rsidRPr="00BA4F53">
              <w:rPr>
                <w:rFonts w:asciiTheme="minorHAnsi" w:hAnsiTheme="minorHAnsi" w:cstheme="minorHAnsi"/>
                <w:sz w:val="18"/>
                <w:szCs w:val="18"/>
              </w:rPr>
              <w:t>TSF</w:t>
            </w:r>
            <w:proofErr w:type="spellEnd"/>
            <w:r w:rsidRPr="00BA4F53">
              <w:rPr>
                <w:rFonts w:asciiTheme="minorHAnsi" w:hAnsiTheme="minorHAnsi" w:cstheme="minorHAnsi"/>
                <w:sz w:val="18"/>
                <w:szCs w:val="18"/>
              </w:rPr>
              <w:t xml:space="preserve"> are greater than previously thought.</w:t>
            </w:r>
          </w:p>
        </w:tc>
        <w:tc>
          <w:tcPr>
            <w:tcW w:w="3554" w:type="dxa"/>
          </w:tcPr>
          <w:p w:rsidR="003E19B5" w:rsidRPr="00BA4F53" w:rsidRDefault="003E19B5" w:rsidP="000332F9">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AMEC’s judgement would be that a range of ±20% on key quantities that are influenced by poorly defined material limits would be </w:t>
            </w:r>
            <w:r w:rsidR="00ED3422" w:rsidRPr="00BA4F53">
              <w:rPr>
                <w:rFonts w:asciiTheme="minorHAnsi" w:hAnsiTheme="minorHAnsi" w:cstheme="minorHAnsi"/>
                <w:sz w:val="18"/>
                <w:szCs w:val="18"/>
              </w:rPr>
              <w:t>reasonable</w:t>
            </w:r>
            <w:r w:rsidRPr="00BA4F53">
              <w:rPr>
                <w:rFonts w:asciiTheme="minorHAnsi" w:hAnsiTheme="minorHAnsi" w:cstheme="minorHAnsi"/>
                <w:sz w:val="18"/>
                <w:szCs w:val="18"/>
              </w:rPr>
              <w:t xml:space="preserve"> for the sensitivity analysis (again, this is beyond the normal variance in civil quantity estimating described in Section </w:t>
            </w:r>
            <w:r w:rsidR="008F4496" w:rsidRPr="00BA4F53">
              <w:rPr>
                <w:rFonts w:asciiTheme="minorHAnsi" w:hAnsiTheme="minorHAnsi" w:cstheme="minorHAnsi"/>
                <w:sz w:val="18"/>
                <w:szCs w:val="18"/>
              </w:rPr>
              <w:t>3.2</w:t>
            </w:r>
            <w:r w:rsidRPr="00BA4F53">
              <w:rPr>
                <w:rFonts w:asciiTheme="minorHAnsi" w:hAnsiTheme="minorHAnsi" w:cstheme="minorHAnsi"/>
                <w:sz w:val="18"/>
                <w:szCs w:val="18"/>
              </w:rPr>
              <w:t xml:space="preserve">). </w:t>
            </w:r>
            <w:r w:rsidR="00ED7781" w:rsidRPr="00BA4F53">
              <w:rPr>
                <w:rFonts w:asciiTheme="minorHAnsi" w:hAnsiTheme="minorHAnsi" w:cstheme="minorHAnsi"/>
                <w:sz w:val="18"/>
                <w:szCs w:val="18"/>
              </w:rPr>
              <w:t xml:space="preserve">This range has been incorporated into the lower and upper bound sensitivity assessments. </w:t>
            </w:r>
            <w:r w:rsidRPr="00BA4F53">
              <w:rPr>
                <w:rFonts w:asciiTheme="minorHAnsi" w:hAnsiTheme="minorHAnsi" w:cstheme="minorHAnsi"/>
                <w:sz w:val="18"/>
                <w:szCs w:val="18"/>
              </w:rPr>
              <w:t xml:space="preserve">Greater resolution or definition of this range </w:t>
            </w:r>
            <w:r w:rsidR="00784F1E" w:rsidRPr="00BA4F53">
              <w:rPr>
                <w:rFonts w:asciiTheme="minorHAnsi" w:hAnsiTheme="minorHAnsi" w:cstheme="minorHAnsi"/>
                <w:sz w:val="18"/>
                <w:szCs w:val="18"/>
              </w:rPr>
              <w:t>can</w:t>
            </w:r>
            <w:r w:rsidR="00784F1E">
              <w:rPr>
                <w:rFonts w:asciiTheme="minorHAnsi" w:hAnsiTheme="minorHAnsi" w:cstheme="minorHAnsi"/>
                <w:sz w:val="18"/>
                <w:szCs w:val="18"/>
              </w:rPr>
              <w:t>not</w:t>
            </w:r>
            <w:r w:rsidRPr="00BA4F53">
              <w:rPr>
                <w:rFonts w:asciiTheme="minorHAnsi" w:hAnsiTheme="minorHAnsi" w:cstheme="minorHAnsi"/>
                <w:sz w:val="18"/>
                <w:szCs w:val="18"/>
              </w:rPr>
              <w:t xml:space="preserve"> be supported without the more detailed examinations and calculations that will form part of Phase</w:t>
            </w:r>
            <w:r w:rsidR="00ED3422" w:rsidRPr="00BA4F53">
              <w:rPr>
                <w:rFonts w:asciiTheme="minorHAnsi" w:hAnsiTheme="minorHAnsi" w:cstheme="minorHAnsi"/>
                <w:sz w:val="18"/>
                <w:szCs w:val="18"/>
              </w:rPr>
              <w:t> </w:t>
            </w:r>
            <w:r w:rsidRPr="00BA4F53">
              <w:rPr>
                <w:rFonts w:asciiTheme="minorHAnsi" w:hAnsiTheme="minorHAnsi" w:cstheme="minorHAnsi"/>
                <w:sz w:val="18"/>
                <w:szCs w:val="18"/>
              </w:rPr>
              <w:t>2.</w:t>
            </w:r>
          </w:p>
          <w:p w:rsidR="003E19B5" w:rsidRPr="00BA4F53" w:rsidRDefault="003E19B5" w:rsidP="000332F9">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In addition, assumed sediment volumes in the Dome Creek valley outside of the </w:t>
            </w:r>
            <w:proofErr w:type="spellStart"/>
            <w:r w:rsidRPr="00BA4F53">
              <w:rPr>
                <w:rFonts w:asciiTheme="minorHAnsi" w:hAnsiTheme="minorHAnsi" w:cstheme="minorHAnsi"/>
                <w:sz w:val="18"/>
                <w:szCs w:val="18"/>
              </w:rPr>
              <w:t>TSF</w:t>
            </w:r>
            <w:proofErr w:type="spellEnd"/>
            <w:r w:rsidRPr="00BA4F53">
              <w:rPr>
                <w:rFonts w:asciiTheme="minorHAnsi" w:hAnsiTheme="minorHAnsi" w:cstheme="minorHAnsi"/>
                <w:sz w:val="18"/>
                <w:szCs w:val="18"/>
              </w:rPr>
              <w:t xml:space="preserve"> will be increased by </w:t>
            </w:r>
            <w:r w:rsidR="008F4496" w:rsidRPr="00BA4F53">
              <w:rPr>
                <w:rFonts w:asciiTheme="minorHAnsi" w:hAnsiTheme="minorHAnsi" w:cstheme="minorHAnsi"/>
                <w:sz w:val="18"/>
                <w:szCs w:val="18"/>
              </w:rPr>
              <w:t xml:space="preserve">roughly </w:t>
            </w:r>
            <w:r w:rsidRPr="00BA4F53">
              <w:rPr>
                <w:rFonts w:asciiTheme="minorHAnsi" w:hAnsiTheme="minorHAnsi" w:cstheme="minorHAnsi"/>
                <w:sz w:val="18"/>
                <w:szCs w:val="18"/>
              </w:rPr>
              <w:t>100% for the upper bound sensitivity assessment to evaluate the potential cost impact of the increased creek bed sediment removal scope that has been identified post Phase 1.</w:t>
            </w:r>
          </w:p>
        </w:tc>
      </w:tr>
      <w:tr w:rsidR="00ED3422" w:rsidRPr="00BA4F53" w:rsidTr="00776D35">
        <w:tc>
          <w:tcPr>
            <w:tcW w:w="13320" w:type="dxa"/>
            <w:gridSpan w:val="4"/>
            <w:vAlign w:val="center"/>
          </w:tcPr>
          <w:p w:rsidR="00ED3422" w:rsidRPr="00BA4F53" w:rsidRDefault="00ED7781" w:rsidP="00CE7C7A">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t xml:space="preserve">2.  </w:t>
            </w:r>
            <w:r w:rsidR="00ED3422" w:rsidRPr="00BA4F53">
              <w:rPr>
                <w:rFonts w:asciiTheme="minorHAnsi" w:hAnsiTheme="minorHAnsi" w:cstheme="minorHAnsi"/>
                <w:b/>
                <w:sz w:val="18"/>
                <w:szCs w:val="18"/>
              </w:rPr>
              <w:t>Waste Rock Characterization</w:t>
            </w:r>
          </w:p>
        </w:tc>
      </w:tr>
      <w:tr w:rsidR="00ED3422" w:rsidRPr="00BA4F53" w:rsidTr="00776D35">
        <w:tc>
          <w:tcPr>
            <w:tcW w:w="3214" w:type="dxa"/>
          </w:tcPr>
          <w:p w:rsidR="00ED3422" w:rsidRPr="00BA4F53" w:rsidRDefault="00ED3422" w:rsidP="00CE7C7A">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This is </w:t>
            </w:r>
            <w:r w:rsidR="00C55B39" w:rsidRPr="00BA4F53">
              <w:rPr>
                <w:rFonts w:asciiTheme="minorHAnsi" w:hAnsiTheme="minorHAnsi" w:cstheme="minorHAnsi"/>
                <w:sz w:val="18"/>
                <w:szCs w:val="18"/>
              </w:rPr>
              <w:t xml:space="preserve">related to the civil quantities issue in that it influences the volumes of waste rock that are ultimately directed to the Open Pit. The issue is the potential challenge related to distinguishing between </w:t>
            </w:r>
            <w:proofErr w:type="spellStart"/>
            <w:r w:rsidR="00C55B39" w:rsidRPr="00BA4F53">
              <w:rPr>
                <w:rFonts w:asciiTheme="minorHAnsi" w:hAnsiTheme="minorHAnsi" w:cstheme="minorHAnsi"/>
                <w:sz w:val="18"/>
                <w:szCs w:val="18"/>
              </w:rPr>
              <w:t>PAG</w:t>
            </w:r>
            <w:proofErr w:type="spellEnd"/>
            <w:r w:rsidR="00C55B39" w:rsidRPr="00BA4F53">
              <w:rPr>
                <w:rFonts w:asciiTheme="minorHAnsi" w:hAnsiTheme="minorHAnsi" w:cstheme="minorHAnsi"/>
                <w:sz w:val="18"/>
                <w:szCs w:val="18"/>
              </w:rPr>
              <w:t xml:space="preserve"> and </w:t>
            </w:r>
            <w:r w:rsidR="00C55B39" w:rsidRPr="00BA4F53">
              <w:rPr>
                <w:rFonts w:asciiTheme="minorHAnsi" w:hAnsiTheme="minorHAnsi" w:cstheme="minorHAnsi"/>
                <w:sz w:val="18"/>
                <w:szCs w:val="18"/>
              </w:rPr>
              <w:br/>
              <w:t>non-</w:t>
            </w:r>
            <w:proofErr w:type="spellStart"/>
            <w:r w:rsidR="00C55B39" w:rsidRPr="00BA4F53">
              <w:rPr>
                <w:rFonts w:asciiTheme="minorHAnsi" w:hAnsiTheme="minorHAnsi" w:cstheme="minorHAnsi"/>
                <w:sz w:val="18"/>
                <w:szCs w:val="18"/>
              </w:rPr>
              <w:t>PAG</w:t>
            </w:r>
            <w:proofErr w:type="spellEnd"/>
            <w:r w:rsidR="00C55B39" w:rsidRPr="00BA4F53">
              <w:rPr>
                <w:rFonts w:asciiTheme="minorHAnsi" w:hAnsiTheme="minorHAnsi" w:cstheme="minorHAnsi"/>
                <w:sz w:val="18"/>
                <w:szCs w:val="18"/>
              </w:rPr>
              <w:t xml:space="preserve"> waste rock during project execution. Managing and/or mitigating this </w:t>
            </w:r>
            <w:r w:rsidR="00EF03C8" w:rsidRPr="00BA4F53">
              <w:rPr>
                <w:rFonts w:asciiTheme="minorHAnsi" w:hAnsiTheme="minorHAnsi" w:cstheme="minorHAnsi"/>
                <w:sz w:val="18"/>
                <w:szCs w:val="18"/>
              </w:rPr>
              <w:t>challenge</w:t>
            </w:r>
            <w:r w:rsidR="00C55B39" w:rsidRPr="00BA4F53">
              <w:rPr>
                <w:rFonts w:asciiTheme="minorHAnsi" w:hAnsiTheme="minorHAnsi" w:cstheme="minorHAnsi"/>
                <w:sz w:val="18"/>
                <w:szCs w:val="18"/>
              </w:rPr>
              <w:t xml:space="preserve"> might require extensions to the execution schedule and/or additional costs for onsite laboratory capabilities.</w:t>
            </w:r>
          </w:p>
        </w:tc>
        <w:tc>
          <w:tcPr>
            <w:tcW w:w="3276" w:type="dxa"/>
          </w:tcPr>
          <w:p w:rsidR="00ED3422" w:rsidRPr="00BA4F53" w:rsidRDefault="00C55B39" w:rsidP="00CE7C7A">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Phase 1 estimate assumed that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non-</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distinctions could be made without significantly influencing project execution schedules or support requirements (i.e. on the basis of </w:t>
            </w:r>
            <w:r w:rsidRPr="00BA4F53">
              <w:rPr>
                <w:rFonts w:asciiTheme="minorHAnsi" w:hAnsiTheme="minorHAnsi" w:cstheme="minorHAnsi"/>
                <w:sz w:val="18"/>
                <w:szCs w:val="18"/>
              </w:rPr>
              <w:br/>
              <w:t>pre-execution characterization data or readily applied field protocols).</w:t>
            </w:r>
          </w:p>
        </w:tc>
        <w:tc>
          <w:tcPr>
            <w:tcW w:w="3276" w:type="dxa"/>
          </w:tcPr>
          <w:p w:rsidR="00ED3422" w:rsidRPr="00BA4F53" w:rsidRDefault="00C55B39" w:rsidP="00ED7781">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This Phase 1 estimating assumption was comparatively liberal in that there is a good possibility that direct analytical measures will be required to make </w:t>
            </w:r>
            <w:r w:rsidR="00EF03C8" w:rsidRPr="00BA4F53">
              <w:rPr>
                <w:rFonts w:asciiTheme="minorHAnsi" w:hAnsiTheme="minorHAnsi" w:cstheme="minorHAnsi"/>
                <w:sz w:val="18"/>
                <w:szCs w:val="18"/>
              </w:rPr>
              <w:t>reliable</w:t>
            </w:r>
            <w:r w:rsidRPr="00BA4F53">
              <w:rPr>
                <w:rFonts w:asciiTheme="minorHAnsi" w:hAnsiTheme="minorHAnsi" w:cstheme="minorHAnsi"/>
                <w:sz w:val="18"/>
                <w:szCs w:val="18"/>
              </w:rPr>
              <w:t xml:space="preserve">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/non-</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distinctions in practice. This will likely require the development and maintenance of a fairly robust onsite analytical capability with an associated sampling capability and infrastructure. In addition, the effectiveness and efficiency of these capabilities will have practical limits that </w:t>
            </w:r>
            <w:r w:rsidR="00ED7781" w:rsidRPr="00BA4F53">
              <w:rPr>
                <w:rFonts w:asciiTheme="minorHAnsi" w:hAnsiTheme="minorHAnsi" w:cstheme="minorHAnsi"/>
                <w:sz w:val="18"/>
                <w:szCs w:val="18"/>
              </w:rPr>
              <w:t>could</w:t>
            </w:r>
            <w:r w:rsidRPr="00BA4F53">
              <w:rPr>
                <w:rFonts w:asciiTheme="minorHAnsi" w:hAnsiTheme="minorHAnsi" w:cstheme="minorHAnsi"/>
                <w:sz w:val="18"/>
                <w:szCs w:val="18"/>
              </w:rPr>
              <w:t xml:space="preserve"> result in some proportion of the non-</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inventory being directed to the Open Pit.</w:t>
            </w:r>
          </w:p>
        </w:tc>
        <w:tc>
          <w:tcPr>
            <w:tcW w:w="3554" w:type="dxa"/>
          </w:tcPr>
          <w:p w:rsidR="00ED3422" w:rsidRPr="00BA4F53" w:rsidRDefault="00ED7781"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AMEC has assumed that the </w:t>
            </w:r>
            <w:proofErr w:type="spellStart"/>
            <w:r w:rsidRPr="00BA4F53">
              <w:rPr>
                <w:rFonts w:asciiTheme="minorHAnsi" w:hAnsiTheme="minorHAnsi" w:cstheme="minorHAnsi"/>
                <w:sz w:val="18"/>
                <w:szCs w:val="18"/>
              </w:rPr>
              <w:t>PAG</w:t>
            </w:r>
            <w:proofErr w:type="spellEnd"/>
            <w:r w:rsidR="00E6154D">
              <w:rPr>
                <w:rFonts w:asciiTheme="minorHAnsi" w:hAnsiTheme="minorHAnsi" w:cstheme="minorHAnsi"/>
                <w:sz w:val="18"/>
                <w:szCs w:val="18"/>
              </w:rPr>
              <w:t>/non-</w:t>
            </w:r>
            <w:proofErr w:type="spellStart"/>
            <w:r w:rsidR="00E6154D">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field differentiation issue can be adequately managed during field execution via the development and maintenance of an onsite sampling and testing capability, and that applying this capability will not compromise the efficiency of the materials handling operation, or the </w:t>
            </w:r>
            <w:r w:rsidR="008F4496" w:rsidRPr="00BA4F53">
              <w:rPr>
                <w:rFonts w:asciiTheme="minorHAnsi" w:hAnsiTheme="minorHAnsi" w:cstheme="minorHAnsi"/>
                <w:sz w:val="18"/>
                <w:szCs w:val="18"/>
              </w:rPr>
              <w:t>proportion</w:t>
            </w:r>
            <w:r w:rsidR="00E6154D">
              <w:rPr>
                <w:rFonts w:asciiTheme="minorHAnsi" w:hAnsiTheme="minorHAnsi" w:cstheme="minorHAnsi"/>
                <w:sz w:val="18"/>
                <w:szCs w:val="18"/>
              </w:rPr>
              <w:t xml:space="preserve"> of the non-</w:t>
            </w:r>
            <w:proofErr w:type="spellStart"/>
            <w:r w:rsidR="00E6154D">
              <w:rPr>
                <w:rFonts w:asciiTheme="minorHAnsi" w:hAnsiTheme="minorHAnsi" w:cstheme="minorHAnsi"/>
                <w:sz w:val="18"/>
                <w:szCs w:val="18"/>
              </w:rPr>
              <w:t>P</w:t>
            </w:r>
            <w:r w:rsidRPr="00BA4F53">
              <w:rPr>
                <w:rFonts w:asciiTheme="minorHAnsi" w:hAnsiTheme="minorHAnsi" w:cstheme="minorHAnsi"/>
                <w:sz w:val="18"/>
                <w:szCs w:val="18"/>
              </w:rPr>
              <w:t>AG</w:t>
            </w:r>
            <w:proofErr w:type="spellEnd"/>
            <w:r w:rsidRPr="00BA4F53">
              <w:rPr>
                <w:rFonts w:asciiTheme="minorHAnsi" w:hAnsiTheme="minorHAnsi" w:cstheme="minorHAnsi"/>
                <w:sz w:val="18"/>
                <w:szCs w:val="18"/>
              </w:rPr>
              <w:t xml:space="preserve"> rock inventory directed to the Open Pit. For the upper bound sensitivity assessment, AMEC has assumed upfront laboratory development costs of $100,000 and annual operating costs (including staffing) of $500,000 for this sampling and testing capability.</w:t>
            </w:r>
          </w:p>
        </w:tc>
      </w:tr>
      <w:tr w:rsidR="003E19B5" w:rsidRPr="00BA4F53" w:rsidTr="00776D35">
        <w:tc>
          <w:tcPr>
            <w:tcW w:w="13320" w:type="dxa"/>
            <w:gridSpan w:val="4"/>
            <w:vAlign w:val="center"/>
          </w:tcPr>
          <w:p w:rsidR="003E19B5" w:rsidRPr="00BA4F53" w:rsidRDefault="00BF4ABE" w:rsidP="00E6154D">
            <w:pPr>
              <w:pStyle w:val="BodyText"/>
              <w:keepN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lastRenderedPageBreak/>
              <w:t xml:space="preserve">3.  </w:t>
            </w:r>
            <w:r w:rsidR="003E19B5" w:rsidRPr="00BA4F53">
              <w:rPr>
                <w:rFonts w:asciiTheme="minorHAnsi" w:hAnsiTheme="minorHAnsi" w:cstheme="minorHAnsi"/>
                <w:b/>
                <w:sz w:val="18"/>
                <w:szCs w:val="18"/>
              </w:rPr>
              <w:t>Materials Handling Methods</w:t>
            </w:r>
          </w:p>
        </w:tc>
      </w:tr>
      <w:tr w:rsidR="00C93480" w:rsidRPr="00BA4F53" w:rsidTr="00776D35">
        <w:tc>
          <w:tcPr>
            <w:tcW w:w="3214" w:type="dxa"/>
          </w:tcPr>
          <w:p w:rsidR="00C93480" w:rsidRPr="00BA4F53" w:rsidRDefault="00C93480"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specific techniques used to move the </w:t>
            </w:r>
            <w:r w:rsidR="00ED3422" w:rsidRPr="00BA4F53">
              <w:rPr>
                <w:rFonts w:asciiTheme="minorHAnsi" w:hAnsiTheme="minorHAnsi" w:cstheme="minorHAnsi"/>
                <w:sz w:val="18"/>
                <w:szCs w:val="18"/>
              </w:rPr>
              <w:t xml:space="preserve">major </w:t>
            </w:r>
            <w:r w:rsidRPr="00BA4F53">
              <w:rPr>
                <w:rFonts w:asciiTheme="minorHAnsi" w:hAnsiTheme="minorHAnsi" w:cstheme="minorHAnsi"/>
                <w:sz w:val="18"/>
                <w:szCs w:val="18"/>
              </w:rPr>
              <w:t>civil material categories, particularly tailings, to the Open Pit has a fundamental influence on both the execution schedule and total project cost. The assumptions about methods reflect AMEC’s interpretations of how several key project uncertainties (e.g.</w:t>
            </w:r>
            <w:r w:rsidR="00ED3422" w:rsidRPr="00BA4F53">
              <w:rPr>
                <w:rFonts w:asciiTheme="minorHAnsi" w:hAnsiTheme="minorHAnsi" w:cstheme="minorHAnsi"/>
                <w:sz w:val="18"/>
                <w:szCs w:val="18"/>
              </w:rPr>
              <w:t> </w:t>
            </w:r>
            <w:r w:rsidRPr="00BA4F53">
              <w:rPr>
                <w:rFonts w:asciiTheme="minorHAnsi" w:hAnsiTheme="minorHAnsi" w:cstheme="minorHAnsi"/>
                <w:sz w:val="18"/>
                <w:szCs w:val="18"/>
              </w:rPr>
              <w:t>tailings handling and placement characteristics) might be managed and/or mitigated (i.e. these assumptions are not only critical to the estimate, they must be made within a context of considerable uncertainty).</w:t>
            </w:r>
          </w:p>
        </w:tc>
        <w:tc>
          <w:tcPr>
            <w:tcW w:w="3276" w:type="dxa"/>
          </w:tcPr>
          <w:p w:rsidR="00C93480" w:rsidRPr="00BA4F53" w:rsidRDefault="00C93480"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Phase 1 Design Base Case and estimate assumed conventional truck and shovel movement of key material categories. Wet tailings were assumed to be managed via upfront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dewatering and mixing of tails with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rock (i.e. a significant portion of the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rock inventory destined for the Open Pit is double </w:t>
            </w:r>
            <w:r w:rsidR="00016CE6" w:rsidRPr="00BA4F53">
              <w:rPr>
                <w:rFonts w:asciiTheme="minorHAnsi" w:hAnsiTheme="minorHAnsi" w:cstheme="minorHAnsi"/>
                <w:sz w:val="18"/>
                <w:szCs w:val="18"/>
              </w:rPr>
              <w:t xml:space="preserve">handled). The general </w:t>
            </w:r>
            <w:proofErr w:type="spellStart"/>
            <w:r w:rsidR="00016CE6" w:rsidRPr="00BA4F53">
              <w:rPr>
                <w:rFonts w:asciiTheme="minorHAnsi" w:hAnsiTheme="minorHAnsi" w:cstheme="minorHAnsi"/>
                <w:sz w:val="18"/>
                <w:szCs w:val="18"/>
              </w:rPr>
              <w:t>PAG</w:t>
            </w:r>
            <w:proofErr w:type="spellEnd"/>
            <w:r w:rsidR="00016CE6" w:rsidRPr="00BA4F53">
              <w:rPr>
                <w:rFonts w:asciiTheme="minorHAnsi" w:hAnsiTheme="minorHAnsi" w:cstheme="minorHAnsi"/>
                <w:sz w:val="18"/>
                <w:szCs w:val="18"/>
              </w:rPr>
              <w:t>/tails mixing ratio was set at</w:t>
            </w:r>
            <w:r w:rsidR="008F4496" w:rsidRPr="00BA4F53">
              <w:rPr>
                <w:rFonts w:asciiTheme="minorHAnsi" w:hAnsiTheme="minorHAnsi" w:cstheme="minorHAnsi"/>
                <w:sz w:val="18"/>
                <w:szCs w:val="18"/>
              </w:rPr>
              <w:t xml:space="preserve"> </w:t>
            </w:r>
            <w:proofErr w:type="gramStart"/>
            <w:r w:rsidR="008F4496" w:rsidRPr="00BA4F53">
              <w:rPr>
                <w:rFonts w:asciiTheme="minorHAnsi" w:hAnsiTheme="minorHAnsi" w:cstheme="minorHAnsi"/>
                <w:sz w:val="18"/>
                <w:szCs w:val="18"/>
              </w:rPr>
              <w:t>between 1:2 to 1:2</w:t>
            </w:r>
            <w:r w:rsidR="003A1CFF">
              <w:rPr>
                <w:rFonts w:asciiTheme="minorHAnsi" w:hAnsiTheme="minorHAnsi" w:cstheme="minorHAnsi"/>
                <w:sz w:val="18"/>
                <w:szCs w:val="18"/>
              </w:rPr>
              <w:t>.</w:t>
            </w:r>
            <w:r w:rsidR="008F4496" w:rsidRPr="00BA4F53">
              <w:rPr>
                <w:rFonts w:asciiTheme="minorHAnsi" w:hAnsiTheme="minorHAnsi" w:cstheme="minorHAnsi"/>
                <w:sz w:val="18"/>
                <w:szCs w:val="18"/>
              </w:rPr>
              <w:t xml:space="preserve">5 </w:t>
            </w:r>
            <w:r w:rsidR="00016CE6" w:rsidRPr="00BA4F53">
              <w:rPr>
                <w:rFonts w:asciiTheme="minorHAnsi" w:hAnsiTheme="minorHAnsi" w:cstheme="minorHAnsi"/>
                <w:sz w:val="18"/>
                <w:szCs w:val="18"/>
              </w:rPr>
              <w:t>for the Phase</w:t>
            </w:r>
            <w:r w:rsidR="000332F9" w:rsidRPr="00BA4F53">
              <w:rPr>
                <w:rFonts w:asciiTheme="minorHAnsi" w:hAnsiTheme="minorHAnsi" w:cstheme="minorHAnsi"/>
                <w:sz w:val="18"/>
                <w:szCs w:val="18"/>
              </w:rPr>
              <w:t> </w:t>
            </w:r>
            <w:r w:rsidR="00016CE6" w:rsidRPr="00BA4F53">
              <w:rPr>
                <w:rFonts w:asciiTheme="minorHAnsi" w:hAnsiTheme="minorHAnsi" w:cstheme="minorHAnsi"/>
                <w:sz w:val="18"/>
                <w:szCs w:val="18"/>
              </w:rPr>
              <w:t>1 estimate</w:t>
            </w:r>
            <w:proofErr w:type="gramEnd"/>
            <w:r w:rsidR="00016CE6" w:rsidRPr="00BA4F53">
              <w:rPr>
                <w:rFonts w:asciiTheme="minorHAnsi" w:hAnsiTheme="minorHAnsi" w:cstheme="minorHAnsi"/>
                <w:sz w:val="18"/>
                <w:szCs w:val="18"/>
              </w:rPr>
              <w:t>.</w:t>
            </w:r>
            <w:r w:rsidR="00BF4ABE" w:rsidRPr="00BA4F53">
              <w:rPr>
                <w:rFonts w:asciiTheme="minorHAnsi" w:hAnsiTheme="minorHAnsi" w:cstheme="minorHAnsi"/>
                <w:sz w:val="18"/>
                <w:szCs w:val="18"/>
              </w:rPr>
              <w:t xml:space="preserve"> In addition, the Phase 1 concept assumed that a certain proportion of the </w:t>
            </w:r>
            <w:proofErr w:type="spellStart"/>
            <w:r w:rsidR="00BF4ABE" w:rsidRPr="00BA4F53">
              <w:rPr>
                <w:rFonts w:asciiTheme="minorHAnsi" w:hAnsiTheme="minorHAnsi" w:cstheme="minorHAnsi"/>
                <w:sz w:val="18"/>
                <w:szCs w:val="18"/>
              </w:rPr>
              <w:t>PAG</w:t>
            </w:r>
            <w:proofErr w:type="spellEnd"/>
            <w:r w:rsidR="00BF4ABE" w:rsidRPr="00BA4F53">
              <w:rPr>
                <w:rFonts w:asciiTheme="minorHAnsi" w:hAnsiTheme="minorHAnsi" w:cstheme="minorHAnsi"/>
                <w:sz w:val="18"/>
                <w:szCs w:val="18"/>
              </w:rPr>
              <w:t xml:space="preserve"> inventory would be used at the </w:t>
            </w:r>
            <w:proofErr w:type="spellStart"/>
            <w:r w:rsidR="00BF4ABE" w:rsidRPr="00BA4F53">
              <w:rPr>
                <w:rFonts w:asciiTheme="minorHAnsi" w:hAnsiTheme="minorHAnsi" w:cstheme="minorHAnsi"/>
                <w:sz w:val="18"/>
                <w:szCs w:val="18"/>
              </w:rPr>
              <w:t>TSF</w:t>
            </w:r>
            <w:proofErr w:type="spellEnd"/>
            <w:r w:rsidR="00BF4ABE" w:rsidRPr="00BA4F53">
              <w:rPr>
                <w:rFonts w:asciiTheme="minorHAnsi" w:hAnsiTheme="minorHAnsi" w:cstheme="minorHAnsi"/>
                <w:sz w:val="18"/>
                <w:szCs w:val="18"/>
              </w:rPr>
              <w:t xml:space="preserve"> (prior to disposition in the Open Pit) to provide trafficable surfaces on the </w:t>
            </w:r>
            <w:proofErr w:type="spellStart"/>
            <w:r w:rsidR="00BF4ABE" w:rsidRPr="00BA4F53">
              <w:rPr>
                <w:rFonts w:asciiTheme="minorHAnsi" w:hAnsiTheme="minorHAnsi" w:cstheme="minorHAnsi"/>
                <w:sz w:val="18"/>
                <w:szCs w:val="18"/>
              </w:rPr>
              <w:t>TSF</w:t>
            </w:r>
            <w:proofErr w:type="spellEnd"/>
            <w:r w:rsidR="00BF4ABE" w:rsidRPr="00BA4F53">
              <w:rPr>
                <w:rFonts w:asciiTheme="minorHAnsi" w:hAnsiTheme="minorHAnsi" w:cstheme="minorHAnsi"/>
                <w:sz w:val="18"/>
                <w:szCs w:val="18"/>
              </w:rPr>
              <w:t xml:space="preserve"> excavation benches and haul roads.</w:t>
            </w:r>
          </w:p>
        </w:tc>
        <w:tc>
          <w:tcPr>
            <w:tcW w:w="3276" w:type="dxa"/>
          </w:tcPr>
          <w:p w:rsidR="00C93480" w:rsidRPr="00BA4F53" w:rsidRDefault="00016CE6"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AMEC views the assumed dewatering/</w:t>
            </w:r>
            <w:r w:rsidR="000332F9" w:rsidRPr="00BA4F53">
              <w:rPr>
                <w:rFonts w:asciiTheme="minorHAnsi" w:hAnsiTheme="minorHAnsi" w:cstheme="minorHAnsi"/>
                <w:sz w:val="18"/>
                <w:szCs w:val="18"/>
              </w:rPr>
              <w:t xml:space="preserve"> </w:t>
            </w:r>
            <w:r w:rsidRPr="00BA4F53">
              <w:rPr>
                <w:rFonts w:asciiTheme="minorHAnsi" w:hAnsiTheme="minorHAnsi" w:cstheme="minorHAnsi"/>
                <w:sz w:val="18"/>
                <w:szCs w:val="18"/>
              </w:rPr>
              <w:t xml:space="preserve">mixing/truck and shovel methods as a </w:t>
            </w:r>
            <w:r w:rsidR="00BF4ABE" w:rsidRPr="00BA4F53">
              <w:rPr>
                <w:rFonts w:asciiTheme="minorHAnsi" w:hAnsiTheme="minorHAnsi" w:cstheme="minorHAnsi"/>
                <w:sz w:val="18"/>
                <w:szCs w:val="18"/>
              </w:rPr>
              <w:t>robust</w:t>
            </w:r>
            <w:r w:rsidRPr="00BA4F53">
              <w:rPr>
                <w:rFonts w:asciiTheme="minorHAnsi" w:hAnsiTheme="minorHAnsi" w:cstheme="minorHAnsi"/>
                <w:sz w:val="18"/>
                <w:szCs w:val="18"/>
              </w:rPr>
              <w:t xml:space="preserve"> approach for managing and mitigating the uncertainties related to tailings movement and placement. It is possible, indeed likely, that an experienced and well equipped contractor could propose an alternative combination of methods and equipment that could lower costs, particularly if contractors could mitigate their commercial risks by undertaking some form of trial prior to full scale execution.</w:t>
            </w:r>
          </w:p>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In addition to assumptions about the general execution methods, AMEC’s Phase 1 estimate relies on assumptions about the effectiveness of tailings dewatering (see subsequent table entry), the required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 rock/tails mixing ratio and the interrelation between these variables. AMEC’s assumption for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 xml:space="preserve">/tails mixing </w:t>
            </w:r>
            <w:r w:rsidR="0047200B" w:rsidRPr="00BA4F53">
              <w:rPr>
                <w:rFonts w:asciiTheme="minorHAnsi" w:hAnsiTheme="minorHAnsi" w:cstheme="minorHAnsi"/>
                <w:sz w:val="18"/>
                <w:szCs w:val="18"/>
              </w:rPr>
              <w:t>is</w:t>
            </w:r>
            <w:r w:rsidRPr="00BA4F53">
              <w:rPr>
                <w:rFonts w:asciiTheme="minorHAnsi" w:hAnsiTheme="minorHAnsi" w:cstheme="minorHAnsi"/>
                <w:sz w:val="18"/>
                <w:szCs w:val="18"/>
              </w:rPr>
              <w:t xml:space="preserve"> in the middle of a potentially fairly wide range for this variable</w:t>
            </w:r>
            <w:r w:rsidR="00BF4ABE" w:rsidRPr="00BA4F53">
              <w:rPr>
                <w:rFonts w:asciiTheme="minorHAnsi" w:hAnsiTheme="minorHAnsi" w:cstheme="minorHAnsi"/>
                <w:sz w:val="18"/>
                <w:szCs w:val="18"/>
              </w:rPr>
              <w:t xml:space="preserve">, which is influenced not only by tailings handling requirements, but by the configuration and height of excavation benches within the </w:t>
            </w:r>
            <w:proofErr w:type="spellStart"/>
            <w:r w:rsidR="00BF4ABE" w:rsidRPr="00BA4F53">
              <w:rPr>
                <w:rFonts w:asciiTheme="minorHAnsi" w:hAnsiTheme="minorHAnsi" w:cstheme="minorHAnsi"/>
                <w:sz w:val="18"/>
                <w:szCs w:val="18"/>
              </w:rPr>
              <w:t>TSF</w:t>
            </w:r>
            <w:proofErr w:type="spellEnd"/>
            <w:r w:rsidR="00BF4ABE" w:rsidRPr="00BA4F53">
              <w:rPr>
                <w:rFonts w:asciiTheme="minorHAnsi" w:hAnsiTheme="minorHAnsi" w:cstheme="minorHAnsi"/>
                <w:sz w:val="18"/>
                <w:szCs w:val="18"/>
              </w:rPr>
              <w:t>.</w:t>
            </w:r>
          </w:p>
        </w:tc>
        <w:tc>
          <w:tcPr>
            <w:tcW w:w="3554" w:type="dxa"/>
          </w:tcPr>
          <w:p w:rsidR="00C93480" w:rsidRPr="00BA4F53" w:rsidRDefault="00016CE6"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For the lower bound sensitivity analysis, a general materials handling scope and price reduction factor of </w:t>
            </w:r>
            <w:r w:rsidR="00BF4ABE" w:rsidRPr="00BA4F53">
              <w:rPr>
                <w:rFonts w:asciiTheme="minorHAnsi" w:hAnsiTheme="minorHAnsi" w:cstheme="minorHAnsi"/>
                <w:sz w:val="18"/>
                <w:szCs w:val="18"/>
              </w:rPr>
              <w:t xml:space="preserve">20% </w:t>
            </w:r>
            <w:r w:rsidRPr="00BA4F53">
              <w:rPr>
                <w:rFonts w:asciiTheme="minorHAnsi" w:hAnsiTheme="minorHAnsi" w:cstheme="minorHAnsi"/>
                <w:sz w:val="18"/>
                <w:szCs w:val="18"/>
              </w:rPr>
              <w:t>will be applied. Absent more detailed analysis, great</w:t>
            </w:r>
            <w:r w:rsidR="0023681E">
              <w:rPr>
                <w:rFonts w:asciiTheme="minorHAnsi" w:hAnsiTheme="minorHAnsi" w:cstheme="minorHAnsi"/>
                <w:sz w:val="18"/>
                <w:szCs w:val="18"/>
              </w:rPr>
              <w:t>er</w:t>
            </w:r>
            <w:r w:rsidRPr="00BA4F53">
              <w:rPr>
                <w:rFonts w:asciiTheme="minorHAnsi" w:hAnsiTheme="minorHAnsi" w:cstheme="minorHAnsi"/>
                <w:sz w:val="18"/>
                <w:szCs w:val="18"/>
              </w:rPr>
              <w:t xml:space="preserve"> resolution of this figure is not possible; it simply reflects AMEC’s view that there is a good possibility that a successful engagement of the contracting community in an appropriately structured procurement strategy (see Section </w:t>
            </w:r>
            <w:r w:rsidR="008F4496" w:rsidRPr="00BA4F53">
              <w:rPr>
                <w:rFonts w:asciiTheme="minorHAnsi" w:hAnsiTheme="minorHAnsi" w:cstheme="minorHAnsi"/>
                <w:sz w:val="18"/>
                <w:szCs w:val="18"/>
              </w:rPr>
              <w:t>5.1.2</w:t>
            </w:r>
            <w:r w:rsidRPr="00BA4F53">
              <w:rPr>
                <w:rFonts w:asciiTheme="minorHAnsi" w:hAnsiTheme="minorHAnsi" w:cstheme="minorHAnsi"/>
                <w:sz w:val="18"/>
                <w:szCs w:val="18"/>
              </w:rPr>
              <w:t>) could identify more cost effective materials handling methods.</w:t>
            </w:r>
          </w:p>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 variation of ±</w:t>
            </w:r>
            <w:r w:rsidR="008F4496" w:rsidRPr="00BA4F53">
              <w:rPr>
                <w:rFonts w:asciiTheme="minorHAnsi" w:hAnsiTheme="minorHAnsi" w:cstheme="minorHAnsi"/>
                <w:sz w:val="18"/>
                <w:szCs w:val="18"/>
              </w:rPr>
              <w:t>30%</w:t>
            </w:r>
            <w:r w:rsidRPr="00BA4F53">
              <w:rPr>
                <w:rFonts w:asciiTheme="minorHAnsi" w:hAnsiTheme="minorHAnsi" w:cstheme="minorHAnsi"/>
                <w:sz w:val="18"/>
                <w:szCs w:val="18"/>
              </w:rPr>
              <w:t xml:space="preserve"> on the potential </w:t>
            </w:r>
            <w:proofErr w:type="spellStart"/>
            <w:r w:rsidRPr="00BA4F53">
              <w:rPr>
                <w:rFonts w:asciiTheme="minorHAnsi" w:hAnsiTheme="minorHAnsi" w:cstheme="minorHAnsi"/>
                <w:sz w:val="18"/>
                <w:szCs w:val="18"/>
              </w:rPr>
              <w:t>PAG</w:t>
            </w:r>
            <w:proofErr w:type="spellEnd"/>
            <w:r w:rsidRPr="00BA4F53">
              <w:rPr>
                <w:rFonts w:asciiTheme="minorHAnsi" w:hAnsiTheme="minorHAnsi" w:cstheme="minorHAnsi"/>
                <w:sz w:val="18"/>
                <w:szCs w:val="18"/>
              </w:rPr>
              <w:t>/</w:t>
            </w:r>
            <w:r w:rsidR="00E6154D">
              <w:rPr>
                <w:rFonts w:asciiTheme="minorHAnsi" w:hAnsiTheme="minorHAnsi" w:cstheme="minorHAnsi"/>
                <w:sz w:val="18"/>
                <w:szCs w:val="18"/>
              </w:rPr>
              <w:t xml:space="preserve"> </w:t>
            </w:r>
            <w:r w:rsidRPr="00BA4F53">
              <w:rPr>
                <w:rFonts w:asciiTheme="minorHAnsi" w:hAnsiTheme="minorHAnsi" w:cstheme="minorHAnsi"/>
                <w:sz w:val="18"/>
                <w:szCs w:val="18"/>
              </w:rPr>
              <w:t xml:space="preserve">tails mixing ratio will </w:t>
            </w:r>
            <w:r w:rsidR="00E6154D">
              <w:rPr>
                <w:rFonts w:asciiTheme="minorHAnsi" w:hAnsiTheme="minorHAnsi" w:cstheme="minorHAnsi"/>
                <w:sz w:val="18"/>
                <w:szCs w:val="18"/>
              </w:rPr>
              <w:t xml:space="preserve">also </w:t>
            </w:r>
            <w:r w:rsidRPr="00BA4F53">
              <w:rPr>
                <w:rFonts w:asciiTheme="minorHAnsi" w:hAnsiTheme="minorHAnsi" w:cstheme="minorHAnsi"/>
                <w:sz w:val="18"/>
                <w:szCs w:val="18"/>
              </w:rPr>
              <w:t>be considered in the sensitivity assessment.</w:t>
            </w:r>
          </w:p>
        </w:tc>
      </w:tr>
      <w:tr w:rsidR="003E19B5" w:rsidRPr="00BA4F53" w:rsidTr="00776D35">
        <w:tc>
          <w:tcPr>
            <w:tcW w:w="13320" w:type="dxa"/>
            <w:gridSpan w:val="4"/>
            <w:vAlign w:val="center"/>
          </w:tcPr>
          <w:p w:rsidR="003E19B5" w:rsidRPr="00BA4F53" w:rsidRDefault="00BF4ABE" w:rsidP="00E6154D">
            <w:pPr>
              <w:pStyle w:val="BodyText"/>
              <w:keepN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lastRenderedPageBreak/>
              <w:t xml:space="preserve">4.  </w:t>
            </w:r>
            <w:r w:rsidR="003E19B5" w:rsidRPr="00BA4F53">
              <w:rPr>
                <w:rFonts w:asciiTheme="minorHAnsi" w:hAnsiTheme="minorHAnsi" w:cstheme="minorHAnsi"/>
                <w:b/>
                <w:sz w:val="18"/>
                <w:szCs w:val="18"/>
              </w:rPr>
              <w:t>Water Treatment</w:t>
            </w:r>
          </w:p>
        </w:tc>
      </w:tr>
      <w:tr w:rsidR="003E19B5" w:rsidRPr="00BA4F53" w:rsidTr="00776D35">
        <w:trPr>
          <w:cantSplit/>
        </w:trPr>
        <w:tc>
          <w:tcPr>
            <w:tcW w:w="3214" w:type="dxa"/>
          </w:tcPr>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Pit and pond waters will require treatment both to provide unencumbered access to key work areas and to meet water quality release standards.</w:t>
            </w:r>
          </w:p>
        </w:tc>
        <w:tc>
          <w:tcPr>
            <w:tcW w:w="3276" w:type="dxa"/>
          </w:tcPr>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estimate includes the construction of a fixed (i.e. non mobile) water treatment plant dedicated to the project’s requirements.</w:t>
            </w:r>
          </w:p>
          <w:p w:rsidR="00E9768E"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estimate assumed that most of the onsite water inventory would need to be treated over a relatively short time frame to support the assumed execution schedule (i.e. onsite water storage was not used to attenuate the peak plant throughput capacity).</w:t>
            </w:r>
          </w:p>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Finally, the assumed Phase 1 treatment plant incorporated a comparatively broad inventory of process units to </w:t>
            </w:r>
            <w:r w:rsidR="0047200B" w:rsidRPr="00BA4F53">
              <w:rPr>
                <w:rFonts w:asciiTheme="minorHAnsi" w:hAnsiTheme="minorHAnsi" w:cstheme="minorHAnsi"/>
                <w:sz w:val="18"/>
                <w:szCs w:val="18"/>
              </w:rPr>
              <w:t>accommodate</w:t>
            </w:r>
            <w:r w:rsidRPr="00BA4F53">
              <w:rPr>
                <w:rFonts w:asciiTheme="minorHAnsi" w:hAnsiTheme="minorHAnsi" w:cstheme="minorHAnsi"/>
                <w:sz w:val="18"/>
                <w:szCs w:val="18"/>
              </w:rPr>
              <w:t xml:space="preserve"> the full range of critical parameters that could report to the plant.</w:t>
            </w:r>
          </w:p>
        </w:tc>
        <w:tc>
          <w:tcPr>
            <w:tcW w:w="3276" w:type="dxa"/>
          </w:tcPr>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assumed water treatment configuration and capacity is viewed as conservative. It was known at the outset that costs could likely be reduced by optimizing the provision of onsite water storage with plant throughput capacity, and via a more detailed examination of process unit and reagent consumption requirements.</w:t>
            </w:r>
          </w:p>
        </w:tc>
        <w:tc>
          <w:tcPr>
            <w:tcW w:w="3554" w:type="dxa"/>
          </w:tcPr>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Post Phase 1 treatability testing undertaken during the 2014 SI program suggests that a 15% reduction in the scope of the treatment capability can </w:t>
            </w:r>
            <w:r w:rsidR="00E6154D">
              <w:rPr>
                <w:rFonts w:asciiTheme="minorHAnsi" w:hAnsiTheme="minorHAnsi" w:cstheme="minorHAnsi"/>
                <w:sz w:val="18"/>
                <w:szCs w:val="18"/>
              </w:rPr>
              <w:t xml:space="preserve">likely </w:t>
            </w:r>
            <w:r w:rsidRPr="00BA4F53">
              <w:rPr>
                <w:rFonts w:asciiTheme="minorHAnsi" w:hAnsiTheme="minorHAnsi" w:cstheme="minorHAnsi"/>
                <w:sz w:val="18"/>
                <w:szCs w:val="18"/>
              </w:rPr>
              <w:t>be defended (AMEC,</w:t>
            </w:r>
            <w:r w:rsidR="00E6154D">
              <w:rPr>
                <w:rFonts w:asciiTheme="minorHAnsi" w:hAnsiTheme="minorHAnsi" w:cstheme="minorHAnsi"/>
                <w:sz w:val="18"/>
                <w:szCs w:val="18"/>
              </w:rPr>
              <w:t> </w:t>
            </w:r>
            <w:proofErr w:type="spellStart"/>
            <w:r w:rsidR="008F4496" w:rsidRPr="00BA4F53">
              <w:rPr>
                <w:rFonts w:asciiTheme="minorHAnsi" w:hAnsiTheme="minorHAnsi" w:cstheme="minorHAnsi"/>
                <w:sz w:val="18"/>
                <w:szCs w:val="18"/>
              </w:rPr>
              <w:t>2014a</w:t>
            </w:r>
            <w:proofErr w:type="spellEnd"/>
            <w:r w:rsidRPr="00BA4F53">
              <w:rPr>
                <w:rFonts w:asciiTheme="minorHAnsi" w:hAnsiTheme="minorHAnsi" w:cstheme="minorHAnsi"/>
                <w:sz w:val="18"/>
                <w:szCs w:val="18"/>
              </w:rPr>
              <w:t>). This reduction will be reflected in the lower bound sensitivity assessment.</w:t>
            </w:r>
          </w:p>
          <w:p w:rsidR="003E19B5" w:rsidRPr="00BA4F53" w:rsidRDefault="003E19B5"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In addition, a general</w:t>
            </w:r>
            <w:r w:rsidR="00BF4ABE" w:rsidRPr="00BA4F53">
              <w:rPr>
                <w:rFonts w:asciiTheme="minorHAnsi" w:hAnsiTheme="minorHAnsi" w:cstheme="minorHAnsi"/>
                <w:sz w:val="18"/>
                <w:szCs w:val="18"/>
              </w:rPr>
              <w:t xml:space="preserve"> 20% r</w:t>
            </w:r>
            <w:r w:rsidRPr="00BA4F53">
              <w:rPr>
                <w:rFonts w:asciiTheme="minorHAnsi" w:hAnsiTheme="minorHAnsi" w:cstheme="minorHAnsi"/>
                <w:sz w:val="18"/>
                <w:szCs w:val="18"/>
              </w:rPr>
              <w:t>eduction in treatment scope/cost will be applied to reflect AMEC’s judgement about the potential outcome of the storage vs. capacity optimization planned for Phase</w:t>
            </w:r>
            <w:r w:rsidR="0047200B" w:rsidRPr="00BA4F53">
              <w:rPr>
                <w:rFonts w:asciiTheme="minorHAnsi" w:hAnsiTheme="minorHAnsi" w:cstheme="minorHAnsi"/>
                <w:sz w:val="18"/>
                <w:szCs w:val="18"/>
              </w:rPr>
              <w:t> </w:t>
            </w:r>
            <w:r w:rsidRPr="00BA4F53">
              <w:rPr>
                <w:rFonts w:asciiTheme="minorHAnsi" w:hAnsiTheme="minorHAnsi" w:cstheme="minorHAnsi"/>
                <w:sz w:val="18"/>
                <w:szCs w:val="18"/>
              </w:rPr>
              <w:t>2.</w:t>
            </w:r>
          </w:p>
        </w:tc>
      </w:tr>
      <w:tr w:rsidR="0047200B" w:rsidRPr="00BA4F53" w:rsidTr="00776D35">
        <w:tc>
          <w:tcPr>
            <w:tcW w:w="13320" w:type="dxa"/>
            <w:gridSpan w:val="4"/>
            <w:vAlign w:val="center"/>
          </w:tcPr>
          <w:p w:rsidR="0047200B" w:rsidRPr="00BA4F53" w:rsidRDefault="00582B3E" w:rsidP="00E9768E">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t xml:space="preserve">5.  </w:t>
            </w:r>
            <w:r w:rsidR="0047200B" w:rsidRPr="00BA4F53">
              <w:rPr>
                <w:rFonts w:asciiTheme="minorHAnsi" w:hAnsiTheme="minorHAnsi" w:cstheme="minorHAnsi"/>
                <w:b/>
                <w:sz w:val="18"/>
                <w:szCs w:val="18"/>
              </w:rPr>
              <w:t>Open Pit Cover</w:t>
            </w:r>
          </w:p>
        </w:tc>
      </w:tr>
      <w:tr w:rsidR="0047200B" w:rsidRPr="00BA4F53" w:rsidTr="00776D35">
        <w:tc>
          <w:tcPr>
            <w:tcW w:w="3214" w:type="dxa"/>
          </w:tcPr>
          <w:p w:rsidR="0047200B" w:rsidRPr="00BA4F53" w:rsidRDefault="0047200B" w:rsidP="00E9768E">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cover used to limit water and oxygen ingress </w:t>
            </w:r>
            <w:r w:rsidR="000332F9" w:rsidRPr="00BA4F53">
              <w:rPr>
                <w:rFonts w:asciiTheme="minorHAnsi" w:hAnsiTheme="minorHAnsi" w:cstheme="minorHAnsi"/>
                <w:sz w:val="18"/>
                <w:szCs w:val="18"/>
              </w:rPr>
              <w:t>in</w:t>
            </w:r>
            <w:r w:rsidRPr="00BA4F53">
              <w:rPr>
                <w:rFonts w:asciiTheme="minorHAnsi" w:hAnsiTheme="minorHAnsi" w:cstheme="minorHAnsi"/>
                <w:sz w:val="18"/>
                <w:szCs w:val="18"/>
              </w:rPr>
              <w:t>to the backfilled Open Pit is a significant component of the project scope because of both its influence on project outcomes (i.e.</w:t>
            </w:r>
            <w:r w:rsidR="00AA7788" w:rsidRPr="00BA4F53">
              <w:rPr>
                <w:rFonts w:asciiTheme="minorHAnsi" w:hAnsiTheme="minorHAnsi" w:cstheme="minorHAnsi"/>
                <w:sz w:val="18"/>
                <w:szCs w:val="18"/>
              </w:rPr>
              <w:t> </w:t>
            </w:r>
            <w:r w:rsidRPr="00BA4F53">
              <w:rPr>
                <w:rFonts w:asciiTheme="minorHAnsi" w:hAnsiTheme="minorHAnsi" w:cstheme="minorHAnsi"/>
                <w:sz w:val="18"/>
                <w:szCs w:val="18"/>
              </w:rPr>
              <w:t xml:space="preserve">surface water quality) and because </w:t>
            </w:r>
            <w:r w:rsidR="00EF03C8" w:rsidRPr="00BA4F53">
              <w:rPr>
                <w:rFonts w:asciiTheme="minorHAnsi" w:hAnsiTheme="minorHAnsi" w:cstheme="minorHAnsi"/>
                <w:sz w:val="18"/>
                <w:szCs w:val="18"/>
              </w:rPr>
              <w:t>of</w:t>
            </w:r>
            <w:r w:rsidRPr="00BA4F53">
              <w:rPr>
                <w:rFonts w:asciiTheme="minorHAnsi" w:hAnsiTheme="minorHAnsi" w:cstheme="minorHAnsi"/>
                <w:sz w:val="18"/>
                <w:szCs w:val="18"/>
              </w:rPr>
              <w:t xml:space="preserve"> its nature, scale and hence, cost. In addition, the cover will be subject to substantial differentia</w:t>
            </w:r>
            <w:r w:rsidR="000332F9" w:rsidRPr="00BA4F53">
              <w:rPr>
                <w:rFonts w:asciiTheme="minorHAnsi" w:hAnsiTheme="minorHAnsi" w:cstheme="minorHAnsi"/>
                <w:sz w:val="18"/>
                <w:szCs w:val="18"/>
              </w:rPr>
              <w:t>l</w:t>
            </w:r>
            <w:r w:rsidRPr="00BA4F53">
              <w:rPr>
                <w:rFonts w:asciiTheme="minorHAnsi" w:hAnsiTheme="minorHAnsi" w:cstheme="minorHAnsi"/>
                <w:sz w:val="18"/>
                <w:szCs w:val="18"/>
              </w:rPr>
              <w:t xml:space="preserve"> settlements and the methods assumed to mitigate these settlements have a significant influence on costs.</w:t>
            </w:r>
          </w:p>
        </w:tc>
        <w:tc>
          <w:tcPr>
            <w:tcW w:w="3276" w:type="dxa"/>
          </w:tcPr>
          <w:p w:rsidR="0047200B" w:rsidRPr="00BA4F53" w:rsidRDefault="0047200B" w:rsidP="00E9768E">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estimate assumed that the problem of large and somewhat unpredictable differential cover sediments would be addressed by replacing an interim cover (constructed with locally available granular materials) by a permanent structure constructed after tailings consolidation has reduced differential settlements to more manageable levels (assumed to occur some 10 years after interim cover placement). The permanent cover was assumed to be a composite</w:t>
            </w:r>
            <w:r w:rsidR="000332F9" w:rsidRPr="00BA4F53">
              <w:rPr>
                <w:rFonts w:asciiTheme="minorHAnsi" w:hAnsiTheme="minorHAnsi" w:cstheme="minorHAnsi"/>
                <w:sz w:val="18"/>
                <w:szCs w:val="18"/>
              </w:rPr>
              <w:t>,</w:t>
            </w:r>
            <w:r w:rsidRPr="00BA4F53">
              <w:rPr>
                <w:rFonts w:asciiTheme="minorHAnsi" w:hAnsiTheme="minorHAnsi" w:cstheme="minorHAnsi"/>
                <w:sz w:val="18"/>
                <w:szCs w:val="18"/>
              </w:rPr>
              <w:t xml:space="preserve"> </w:t>
            </w:r>
            <w:proofErr w:type="spellStart"/>
            <w:r w:rsidRPr="00BA4F53">
              <w:rPr>
                <w:rFonts w:asciiTheme="minorHAnsi" w:hAnsiTheme="minorHAnsi" w:cstheme="minorHAnsi"/>
                <w:sz w:val="18"/>
                <w:szCs w:val="18"/>
              </w:rPr>
              <w:t>geosynthetically</w:t>
            </w:r>
            <w:proofErr w:type="spellEnd"/>
            <w:r w:rsidRPr="00BA4F53">
              <w:rPr>
                <w:rFonts w:asciiTheme="minorHAnsi" w:hAnsiTheme="minorHAnsi" w:cstheme="minorHAnsi"/>
                <w:sz w:val="18"/>
                <w:szCs w:val="18"/>
              </w:rPr>
              <w:t xml:space="preserve"> based structure.</w:t>
            </w:r>
          </w:p>
        </w:tc>
        <w:tc>
          <w:tcPr>
            <w:tcW w:w="3276" w:type="dxa"/>
          </w:tcPr>
          <w:p w:rsidR="0047200B" w:rsidRPr="00BA4F53" w:rsidRDefault="0047200B" w:rsidP="00E9768E">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interim/permanent cover concept is viewed to be a conservative approach to mitigating differential settlements. It may be possible to lower costs by relying more on cover maintenance and/or repair than complete replacement.</w:t>
            </w:r>
          </w:p>
        </w:tc>
        <w:tc>
          <w:tcPr>
            <w:tcW w:w="3554" w:type="dxa"/>
          </w:tcPr>
          <w:p w:rsidR="0047200B" w:rsidRPr="00BA4F53" w:rsidRDefault="0047200B" w:rsidP="00E9768E">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lower bound sensitivity assessment will assume the interim cover is replaced by a thicker sand/bentonite mix that will be more amenable to regular</w:t>
            </w:r>
            <w:r w:rsidR="000332F9" w:rsidRPr="00BA4F53">
              <w:rPr>
                <w:rFonts w:asciiTheme="minorHAnsi" w:hAnsiTheme="minorHAnsi" w:cstheme="minorHAnsi"/>
                <w:sz w:val="18"/>
                <w:szCs w:val="18"/>
              </w:rPr>
              <w:t xml:space="preserve"> </w:t>
            </w:r>
            <w:proofErr w:type="spellStart"/>
            <w:r w:rsidR="000332F9" w:rsidRPr="00BA4F53">
              <w:rPr>
                <w:rFonts w:asciiTheme="minorHAnsi" w:hAnsiTheme="minorHAnsi" w:cstheme="minorHAnsi"/>
                <w:sz w:val="18"/>
                <w:szCs w:val="18"/>
              </w:rPr>
              <w:t>regrading</w:t>
            </w:r>
            <w:proofErr w:type="spellEnd"/>
            <w:r w:rsidR="000332F9" w:rsidRPr="00BA4F53">
              <w:rPr>
                <w:rFonts w:asciiTheme="minorHAnsi" w:hAnsiTheme="minorHAnsi" w:cstheme="minorHAnsi"/>
                <w:sz w:val="18"/>
                <w:szCs w:val="18"/>
              </w:rPr>
              <w:t xml:space="preserve"> and maintenance. The</w:t>
            </w:r>
            <w:r w:rsidRPr="00BA4F53">
              <w:rPr>
                <w:rFonts w:asciiTheme="minorHAnsi" w:hAnsiTheme="minorHAnsi" w:cstheme="minorHAnsi"/>
                <w:sz w:val="18"/>
                <w:szCs w:val="18"/>
              </w:rPr>
              <w:t xml:space="preserve"> assessment will assume that this alternate cover concept will avoid the need for replacement in year 10. Absent the Phase 2 design, performance modelling and estimating needed to support this alternative cover concept, the sensitivity assessment will simply assume </w:t>
            </w:r>
            <w:r w:rsidR="00AA7788" w:rsidRPr="00BA4F53">
              <w:rPr>
                <w:rFonts w:asciiTheme="minorHAnsi" w:hAnsiTheme="minorHAnsi" w:cstheme="minorHAnsi"/>
                <w:sz w:val="18"/>
                <w:szCs w:val="18"/>
              </w:rPr>
              <w:t>parity between the Phase 1 interim and alternate cover concept costs, and delete the expense related to cover replacement in season 10</w:t>
            </w:r>
            <w:r w:rsidR="00582B3E" w:rsidRPr="00BA4F53">
              <w:rPr>
                <w:rFonts w:asciiTheme="minorHAnsi" w:hAnsiTheme="minorHAnsi" w:cstheme="minorHAnsi"/>
                <w:sz w:val="18"/>
                <w:szCs w:val="18"/>
              </w:rPr>
              <w:t xml:space="preserve"> and the subsequent maintenance costs originally included in the estimate for this permanent cover</w:t>
            </w:r>
            <w:r w:rsidR="00AA7788" w:rsidRPr="00BA4F53">
              <w:rPr>
                <w:rFonts w:asciiTheme="minorHAnsi" w:hAnsiTheme="minorHAnsi" w:cstheme="minorHAnsi"/>
                <w:sz w:val="18"/>
                <w:szCs w:val="18"/>
              </w:rPr>
              <w:t>.</w:t>
            </w:r>
          </w:p>
        </w:tc>
      </w:tr>
      <w:tr w:rsidR="00866275" w:rsidRPr="00BA4F53" w:rsidTr="00776D35">
        <w:tc>
          <w:tcPr>
            <w:tcW w:w="13320" w:type="dxa"/>
            <w:gridSpan w:val="4"/>
            <w:vAlign w:val="center"/>
          </w:tcPr>
          <w:p w:rsidR="00866275" w:rsidRPr="00BA4F53" w:rsidRDefault="00582B3E" w:rsidP="00E6154D">
            <w:pPr>
              <w:pStyle w:val="BodyText"/>
              <w:keepN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lastRenderedPageBreak/>
              <w:t xml:space="preserve">6.  </w:t>
            </w:r>
            <w:r w:rsidR="00866275" w:rsidRPr="00BA4F53">
              <w:rPr>
                <w:rFonts w:asciiTheme="minorHAnsi" w:hAnsiTheme="minorHAnsi" w:cstheme="minorHAnsi"/>
                <w:b/>
                <w:sz w:val="18"/>
                <w:szCs w:val="18"/>
              </w:rPr>
              <w:t>Dewatering</w:t>
            </w:r>
          </w:p>
        </w:tc>
      </w:tr>
      <w:tr w:rsidR="00866275" w:rsidRPr="00BA4F53" w:rsidTr="00776D35">
        <w:trPr>
          <w:cantSplit/>
        </w:trPr>
        <w:tc>
          <w:tcPr>
            <w:tcW w:w="3214" w:type="dxa"/>
          </w:tcPr>
          <w:p w:rsidR="00866275" w:rsidRPr="00BA4F53" w:rsidRDefault="00866275"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A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dewatering system is used both to meet the Option 4 objective of “</w:t>
            </w:r>
            <w:r w:rsidR="00BE48A6" w:rsidRPr="00BA4F53">
              <w:rPr>
                <w:rFonts w:asciiTheme="minorHAnsi" w:hAnsiTheme="minorHAnsi" w:cstheme="minorHAnsi"/>
                <w:sz w:val="18"/>
                <w:szCs w:val="18"/>
              </w:rPr>
              <w:t>low moisture</w:t>
            </w:r>
            <w:r w:rsidRPr="00BA4F53">
              <w:rPr>
                <w:rFonts w:asciiTheme="minorHAnsi" w:hAnsiTheme="minorHAnsi" w:cstheme="minorHAnsi"/>
                <w:sz w:val="18"/>
                <w:szCs w:val="18"/>
              </w:rPr>
              <w:t xml:space="preserve"> tails” and to provide conditions in the </w:t>
            </w:r>
            <w:proofErr w:type="spellStart"/>
            <w:r w:rsidRPr="00BA4F53">
              <w:rPr>
                <w:rFonts w:asciiTheme="minorHAnsi" w:hAnsiTheme="minorHAnsi" w:cstheme="minorHAnsi"/>
                <w:sz w:val="18"/>
                <w:szCs w:val="18"/>
              </w:rPr>
              <w:t>TSF</w:t>
            </w:r>
            <w:proofErr w:type="spellEnd"/>
            <w:r w:rsidRPr="00BA4F53">
              <w:rPr>
                <w:rFonts w:asciiTheme="minorHAnsi" w:hAnsiTheme="minorHAnsi" w:cstheme="minorHAnsi"/>
                <w:sz w:val="18"/>
                <w:szCs w:val="18"/>
              </w:rPr>
              <w:t xml:space="preserve"> compatible with a safe truck and shovel removal operation. The assumed dewatering system </w:t>
            </w:r>
            <w:r w:rsidR="00E9768E" w:rsidRPr="00BA4F53">
              <w:rPr>
                <w:rFonts w:asciiTheme="minorHAnsi" w:hAnsiTheme="minorHAnsi" w:cstheme="minorHAnsi"/>
                <w:sz w:val="18"/>
                <w:szCs w:val="18"/>
              </w:rPr>
              <w:t>is of a significant scale, and is closely integrated with the execution schedule and, therefore, has a significant influence on project costs.</w:t>
            </w:r>
          </w:p>
        </w:tc>
        <w:tc>
          <w:tcPr>
            <w:tcW w:w="3276" w:type="dxa"/>
          </w:tcPr>
          <w:p w:rsidR="00866275" w:rsidRPr="00BA4F53" w:rsidRDefault="00E9768E"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Phase 1 estimate assumed a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dewatering system operated on a 25 m grid over the </w:t>
            </w:r>
            <w:proofErr w:type="spellStart"/>
            <w:r w:rsidRPr="00BA4F53">
              <w:rPr>
                <w:rFonts w:asciiTheme="minorHAnsi" w:hAnsiTheme="minorHAnsi" w:cstheme="minorHAnsi"/>
                <w:sz w:val="18"/>
                <w:szCs w:val="18"/>
              </w:rPr>
              <w:t>TSF</w:t>
            </w:r>
            <w:proofErr w:type="spellEnd"/>
            <w:r w:rsidRPr="00BA4F53">
              <w:rPr>
                <w:rFonts w:asciiTheme="minorHAnsi" w:hAnsiTheme="minorHAnsi" w:cstheme="minorHAnsi"/>
                <w:sz w:val="18"/>
                <w:szCs w:val="18"/>
              </w:rPr>
              <w:t xml:space="preserve">, with production characteristics consistent with complete dewatering over two summer construction seasons. These assumptions were based on a consideration of the physical characteristics of the tailings, what is known about the variation of those characteristics, and typical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system efficiencies (i.e. </w:t>
            </w:r>
            <w:r w:rsidR="00776D35">
              <w:rPr>
                <w:rFonts w:asciiTheme="minorHAnsi" w:hAnsiTheme="minorHAnsi" w:cstheme="minorHAnsi"/>
                <w:sz w:val="18"/>
                <w:szCs w:val="18"/>
              </w:rPr>
              <w:t>at this stage of project development, site specific field trial or pilot data that are often used to refine system designs and efficiencies were not available</w:t>
            </w:r>
            <w:r w:rsidRPr="00BA4F53">
              <w:rPr>
                <w:rFonts w:asciiTheme="minorHAnsi" w:hAnsiTheme="minorHAnsi" w:cstheme="minorHAnsi"/>
                <w:sz w:val="18"/>
                <w:szCs w:val="18"/>
              </w:rPr>
              <w:t>).</w:t>
            </w:r>
          </w:p>
        </w:tc>
        <w:tc>
          <w:tcPr>
            <w:tcW w:w="3276" w:type="dxa"/>
          </w:tcPr>
          <w:p w:rsidR="00866275" w:rsidRPr="00BA4F53" w:rsidRDefault="00E9768E"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Phase 1 dewatering assumptions were of necessity made within a wide range of possibilities. The assumed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densities and production characteristics could be viewed as generally conservative. It should be noted that costs for these systems are fairly sensitive to relatively modest adjustments in assumed spacing and production.</w:t>
            </w:r>
          </w:p>
        </w:tc>
        <w:tc>
          <w:tcPr>
            <w:tcW w:w="3554" w:type="dxa"/>
          </w:tcPr>
          <w:p w:rsidR="00866275" w:rsidRPr="00BA4F53" w:rsidRDefault="00E9768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For the lower bound sensitivity analysis, AMEC has made the following adjustments:</w:t>
            </w:r>
          </w:p>
          <w:p w:rsidR="00E9768E"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 xml:space="preserve">Increasing the required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spacing from a 25 m grid to a 30 m grid; and</w:t>
            </w:r>
          </w:p>
          <w:p w:rsidR="00E9768E" w:rsidRPr="00BA4F53" w:rsidRDefault="00E9768E" w:rsidP="00CE06DB">
            <w:pPr>
              <w:pStyle w:val="BodyText"/>
              <w:numPr>
                <w:ilvl w:val="0"/>
                <w:numId w:val="27"/>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 xml:space="preserve">Increasing </w:t>
            </w:r>
            <w:proofErr w:type="spellStart"/>
            <w:r w:rsidRPr="00BA4F53">
              <w:rPr>
                <w:rFonts w:asciiTheme="minorHAnsi" w:hAnsiTheme="minorHAnsi" w:cstheme="minorHAnsi"/>
                <w:sz w:val="18"/>
                <w:szCs w:val="18"/>
              </w:rPr>
              <w:t>wellpoint</w:t>
            </w:r>
            <w:proofErr w:type="spellEnd"/>
            <w:r w:rsidRPr="00BA4F53">
              <w:rPr>
                <w:rFonts w:asciiTheme="minorHAnsi" w:hAnsiTheme="minorHAnsi" w:cstheme="minorHAnsi"/>
                <w:sz w:val="18"/>
                <w:szCs w:val="18"/>
              </w:rPr>
              <w:t xml:space="preserve"> production capacity by 30%.</w:t>
            </w:r>
          </w:p>
          <w:p w:rsidR="00E9768E" w:rsidRPr="00BA4F53" w:rsidRDefault="00E9768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Combining these elements reduces the required scope and cost of the dewatering effort by some 50%.</w:t>
            </w:r>
          </w:p>
        </w:tc>
      </w:tr>
      <w:tr w:rsidR="00582B3E" w:rsidRPr="00BA4F53" w:rsidTr="00776D35">
        <w:tc>
          <w:tcPr>
            <w:tcW w:w="13320" w:type="dxa"/>
            <w:gridSpan w:val="4"/>
            <w:vAlign w:val="center"/>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t xml:space="preserve">7.  Reclamation of the </w:t>
            </w:r>
            <w:proofErr w:type="spellStart"/>
            <w:r w:rsidRPr="00BA4F53">
              <w:rPr>
                <w:rFonts w:asciiTheme="minorHAnsi" w:hAnsiTheme="minorHAnsi" w:cstheme="minorHAnsi"/>
                <w:b/>
                <w:sz w:val="18"/>
                <w:szCs w:val="18"/>
              </w:rPr>
              <w:t>TSF</w:t>
            </w:r>
            <w:proofErr w:type="spellEnd"/>
            <w:r w:rsidRPr="00BA4F53">
              <w:rPr>
                <w:rFonts w:asciiTheme="minorHAnsi" w:hAnsiTheme="minorHAnsi" w:cstheme="minorHAnsi"/>
                <w:b/>
                <w:sz w:val="18"/>
                <w:szCs w:val="18"/>
              </w:rPr>
              <w:t xml:space="preserve"> Footprint</w:t>
            </w:r>
          </w:p>
        </w:tc>
      </w:tr>
      <w:tr w:rsidR="00582B3E" w:rsidRPr="00BA4F53" w:rsidTr="00776D35">
        <w:tc>
          <w:tcPr>
            <w:tcW w:w="3214" w:type="dxa"/>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removal of the </w:t>
            </w:r>
            <w:proofErr w:type="spellStart"/>
            <w:r w:rsidRPr="00BA4F53">
              <w:rPr>
                <w:rFonts w:asciiTheme="minorHAnsi" w:hAnsiTheme="minorHAnsi" w:cstheme="minorHAnsi"/>
                <w:sz w:val="18"/>
                <w:szCs w:val="18"/>
              </w:rPr>
              <w:t>TSF</w:t>
            </w:r>
            <w:proofErr w:type="spellEnd"/>
            <w:r w:rsidRPr="00BA4F53">
              <w:rPr>
                <w:rFonts w:asciiTheme="minorHAnsi" w:hAnsiTheme="minorHAnsi" w:cstheme="minorHAnsi"/>
                <w:sz w:val="18"/>
                <w:szCs w:val="18"/>
              </w:rPr>
              <w:t xml:space="preserve"> will leave an excavation in the Dome Creek valley that must be stabilized thermally, </w:t>
            </w:r>
            <w:proofErr w:type="spellStart"/>
            <w:r w:rsidRPr="00BA4F53">
              <w:rPr>
                <w:rFonts w:asciiTheme="minorHAnsi" w:hAnsiTheme="minorHAnsi" w:cstheme="minorHAnsi"/>
                <w:sz w:val="18"/>
                <w:szCs w:val="18"/>
              </w:rPr>
              <w:t>geotechnically</w:t>
            </w:r>
            <w:proofErr w:type="spellEnd"/>
            <w:r w:rsidRPr="00BA4F53">
              <w:rPr>
                <w:rFonts w:asciiTheme="minorHAnsi" w:hAnsiTheme="minorHAnsi" w:cstheme="minorHAnsi"/>
                <w:sz w:val="18"/>
                <w:szCs w:val="18"/>
              </w:rPr>
              <w:t xml:space="preserve"> and hydraulically by the placement of appropriately graded fill.</w:t>
            </w:r>
          </w:p>
        </w:tc>
        <w:tc>
          <w:tcPr>
            <w:tcW w:w="3276" w:type="dxa"/>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Phase 1 estimate assumed that the remediated </w:t>
            </w:r>
            <w:proofErr w:type="spellStart"/>
            <w:r w:rsidRPr="00BA4F53">
              <w:rPr>
                <w:rFonts w:asciiTheme="minorHAnsi" w:hAnsiTheme="minorHAnsi" w:cstheme="minorHAnsi"/>
                <w:sz w:val="18"/>
                <w:szCs w:val="18"/>
              </w:rPr>
              <w:t>TSF</w:t>
            </w:r>
            <w:proofErr w:type="spellEnd"/>
            <w:r w:rsidRPr="00BA4F53">
              <w:rPr>
                <w:rFonts w:asciiTheme="minorHAnsi" w:hAnsiTheme="minorHAnsi" w:cstheme="minorHAnsi"/>
                <w:sz w:val="18"/>
                <w:szCs w:val="18"/>
              </w:rPr>
              <w:t xml:space="preserve"> footprint would be stabilized by placing a 1.2 m layer of NAG waste rock over a bedding of imported sand.</w:t>
            </w:r>
            <w:r w:rsidR="0023681E">
              <w:rPr>
                <w:rFonts w:asciiTheme="minorHAnsi" w:hAnsiTheme="minorHAnsi" w:cstheme="minorHAnsi"/>
                <w:sz w:val="18"/>
                <w:szCs w:val="18"/>
              </w:rPr>
              <w:t xml:space="preserve"> This stabilization is required to mitigate hydraulic erosion forces and thermal effects at disturbed/undisturbed land interfaces.</w:t>
            </w:r>
          </w:p>
        </w:tc>
        <w:tc>
          <w:tcPr>
            <w:tcW w:w="3276" w:type="dxa"/>
          </w:tcPr>
          <w:p w:rsidR="00582B3E" w:rsidRPr="00BA4F53" w:rsidRDefault="00252CCB"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thickness</w:t>
            </w:r>
            <w:r w:rsidR="00582B3E" w:rsidRPr="00BA4F53">
              <w:rPr>
                <w:rFonts w:asciiTheme="minorHAnsi" w:hAnsiTheme="minorHAnsi" w:cstheme="minorHAnsi"/>
                <w:sz w:val="18"/>
                <w:szCs w:val="18"/>
              </w:rPr>
              <w:t xml:space="preserve"> of the NAG waste rock cover was conservatively set at 1.2 m. There is a reasonable possibility that detailed design activities would support a </w:t>
            </w:r>
            <w:r w:rsidR="008F4496" w:rsidRPr="00BA4F53">
              <w:rPr>
                <w:rFonts w:asciiTheme="minorHAnsi" w:hAnsiTheme="minorHAnsi" w:cstheme="minorHAnsi"/>
                <w:sz w:val="18"/>
                <w:szCs w:val="18"/>
              </w:rPr>
              <w:t>reduction</w:t>
            </w:r>
            <w:r w:rsidR="00582B3E" w:rsidRPr="00BA4F53">
              <w:rPr>
                <w:rFonts w:asciiTheme="minorHAnsi" w:hAnsiTheme="minorHAnsi" w:cstheme="minorHAnsi"/>
                <w:sz w:val="18"/>
                <w:szCs w:val="18"/>
              </w:rPr>
              <w:t xml:space="preserve"> in this thickness.</w:t>
            </w:r>
          </w:p>
        </w:tc>
        <w:tc>
          <w:tcPr>
            <w:tcW w:w="3554" w:type="dxa"/>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For the lower bound sensitivity assessment, AMEC has reduced the NAG waste rock cover thickness by 25%.</w:t>
            </w:r>
          </w:p>
        </w:tc>
      </w:tr>
      <w:tr w:rsidR="00582B3E" w:rsidRPr="00BA4F53" w:rsidTr="00776D35">
        <w:tc>
          <w:tcPr>
            <w:tcW w:w="13320" w:type="dxa"/>
            <w:gridSpan w:val="4"/>
            <w:vAlign w:val="center"/>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t>8.  Reclamation Concept</w:t>
            </w:r>
          </w:p>
        </w:tc>
      </w:tr>
      <w:tr w:rsidR="00582B3E" w:rsidRPr="00BA4F53" w:rsidTr="00776D35">
        <w:tc>
          <w:tcPr>
            <w:tcW w:w="3214" w:type="dxa"/>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costs of reclamation are influenced by the extent to which vegetated surfaces (as opposed to graded granular surfaces) are included in the Reclamation Plan.</w:t>
            </w:r>
          </w:p>
        </w:tc>
        <w:tc>
          <w:tcPr>
            <w:tcW w:w="3276" w:type="dxa"/>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Phase 1 Reclamation Plan acknowledged the limited availability of organic substrates and the associated constraints on reclamation plans by limiting </w:t>
            </w:r>
            <w:proofErr w:type="spellStart"/>
            <w:r w:rsidRPr="00BA4F53">
              <w:rPr>
                <w:rFonts w:asciiTheme="minorHAnsi" w:hAnsiTheme="minorHAnsi" w:cstheme="minorHAnsi"/>
                <w:sz w:val="18"/>
                <w:szCs w:val="18"/>
              </w:rPr>
              <w:t>revegetation</w:t>
            </w:r>
            <w:proofErr w:type="spellEnd"/>
            <w:r w:rsidRPr="00BA4F53">
              <w:rPr>
                <w:rFonts w:asciiTheme="minorHAnsi" w:hAnsiTheme="minorHAnsi" w:cstheme="minorHAnsi"/>
                <w:sz w:val="18"/>
                <w:szCs w:val="18"/>
              </w:rPr>
              <w:t xml:space="preserve"> efforts to patches in specified areas and </w:t>
            </w:r>
            <w:proofErr w:type="spellStart"/>
            <w:r w:rsidRPr="00BA4F53">
              <w:rPr>
                <w:rFonts w:asciiTheme="minorHAnsi" w:hAnsiTheme="minorHAnsi" w:cstheme="minorHAnsi"/>
                <w:sz w:val="18"/>
                <w:szCs w:val="18"/>
              </w:rPr>
              <w:t>spacings</w:t>
            </w:r>
            <w:proofErr w:type="spellEnd"/>
            <w:r w:rsidRPr="00BA4F53">
              <w:rPr>
                <w:rFonts w:asciiTheme="minorHAnsi" w:hAnsiTheme="minorHAnsi" w:cstheme="minorHAnsi"/>
                <w:sz w:val="18"/>
                <w:szCs w:val="18"/>
              </w:rPr>
              <w:t>.</w:t>
            </w:r>
          </w:p>
        </w:tc>
        <w:tc>
          <w:tcPr>
            <w:tcW w:w="3276" w:type="dxa"/>
          </w:tcPr>
          <w:p w:rsidR="00582B3E" w:rsidRPr="00BA4F53" w:rsidRDefault="00582B3E"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Current regulations provide considerable latitude in the specific prescriptions proposed for </w:t>
            </w:r>
            <w:r w:rsidR="00211B11" w:rsidRPr="00BA4F53">
              <w:rPr>
                <w:rFonts w:asciiTheme="minorHAnsi" w:hAnsiTheme="minorHAnsi" w:cstheme="minorHAnsi"/>
                <w:sz w:val="18"/>
                <w:szCs w:val="18"/>
              </w:rPr>
              <w:t xml:space="preserve">restoring land capability and aesthetics. The extent to which </w:t>
            </w:r>
            <w:proofErr w:type="spellStart"/>
            <w:r w:rsidR="00211B11" w:rsidRPr="00BA4F53">
              <w:rPr>
                <w:rFonts w:asciiTheme="minorHAnsi" w:hAnsiTheme="minorHAnsi" w:cstheme="minorHAnsi"/>
                <w:sz w:val="18"/>
                <w:szCs w:val="18"/>
              </w:rPr>
              <w:t>revegetation</w:t>
            </w:r>
            <w:proofErr w:type="spellEnd"/>
            <w:r w:rsidR="00211B11" w:rsidRPr="00BA4F53">
              <w:rPr>
                <w:rFonts w:asciiTheme="minorHAnsi" w:hAnsiTheme="minorHAnsi" w:cstheme="minorHAnsi"/>
                <w:sz w:val="18"/>
                <w:szCs w:val="18"/>
              </w:rPr>
              <w:t xml:space="preserve"> features in the Reclamation Plan depend</w:t>
            </w:r>
            <w:r w:rsidR="003A1CFF">
              <w:rPr>
                <w:rFonts w:asciiTheme="minorHAnsi" w:hAnsiTheme="minorHAnsi" w:cstheme="minorHAnsi"/>
                <w:sz w:val="18"/>
                <w:szCs w:val="18"/>
              </w:rPr>
              <w:t>s</w:t>
            </w:r>
            <w:r w:rsidR="00211B11" w:rsidRPr="00BA4F53">
              <w:rPr>
                <w:rFonts w:asciiTheme="minorHAnsi" w:hAnsiTheme="minorHAnsi" w:cstheme="minorHAnsi"/>
                <w:sz w:val="18"/>
                <w:szCs w:val="18"/>
              </w:rPr>
              <w:t xml:space="preserve">, therefore, in no small part on the subjective </w:t>
            </w:r>
            <w:r w:rsidR="008F4496" w:rsidRPr="00BA4F53">
              <w:rPr>
                <w:rFonts w:asciiTheme="minorHAnsi" w:hAnsiTheme="minorHAnsi" w:cstheme="minorHAnsi"/>
                <w:sz w:val="18"/>
                <w:szCs w:val="18"/>
              </w:rPr>
              <w:t>preferences</w:t>
            </w:r>
            <w:r w:rsidR="00211B11" w:rsidRPr="00BA4F53">
              <w:rPr>
                <w:rFonts w:asciiTheme="minorHAnsi" w:hAnsiTheme="minorHAnsi" w:cstheme="minorHAnsi"/>
                <w:sz w:val="18"/>
                <w:szCs w:val="18"/>
              </w:rPr>
              <w:t xml:space="preserve"> of the Project Partners. It is possible that a </w:t>
            </w:r>
            <w:r w:rsidR="003A1CFF">
              <w:rPr>
                <w:rFonts w:asciiTheme="minorHAnsi" w:hAnsiTheme="minorHAnsi" w:cstheme="minorHAnsi"/>
                <w:sz w:val="18"/>
                <w:szCs w:val="18"/>
              </w:rPr>
              <w:br/>
            </w:r>
            <w:r w:rsidR="00211B11" w:rsidRPr="00BA4F53">
              <w:rPr>
                <w:rFonts w:asciiTheme="minorHAnsi" w:hAnsiTheme="minorHAnsi" w:cstheme="minorHAnsi"/>
                <w:sz w:val="18"/>
                <w:szCs w:val="18"/>
              </w:rPr>
              <w:t xml:space="preserve">non-vegetated reclamation concept relying on </w:t>
            </w:r>
            <w:proofErr w:type="spellStart"/>
            <w:r w:rsidR="00211B11" w:rsidRPr="00BA4F53">
              <w:rPr>
                <w:rFonts w:asciiTheme="minorHAnsi" w:hAnsiTheme="minorHAnsi" w:cstheme="minorHAnsi"/>
                <w:sz w:val="18"/>
                <w:szCs w:val="18"/>
              </w:rPr>
              <w:t>regraded</w:t>
            </w:r>
            <w:proofErr w:type="spellEnd"/>
            <w:r w:rsidR="00211B11" w:rsidRPr="00BA4F53">
              <w:rPr>
                <w:rFonts w:asciiTheme="minorHAnsi" w:hAnsiTheme="minorHAnsi" w:cstheme="minorHAnsi"/>
                <w:sz w:val="18"/>
                <w:szCs w:val="18"/>
              </w:rPr>
              <w:t xml:space="preserve"> granular surfaces could be defended, provided this was accepted by the Partners.</w:t>
            </w:r>
          </w:p>
        </w:tc>
        <w:tc>
          <w:tcPr>
            <w:tcW w:w="3554" w:type="dxa"/>
          </w:tcPr>
          <w:p w:rsidR="00582B3E" w:rsidRPr="00BA4F53" w:rsidRDefault="00211B11"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lower bound sensitivity assessment assumes that all </w:t>
            </w:r>
            <w:proofErr w:type="spellStart"/>
            <w:r w:rsidRPr="00BA4F53">
              <w:rPr>
                <w:rFonts w:asciiTheme="minorHAnsi" w:hAnsiTheme="minorHAnsi" w:cstheme="minorHAnsi"/>
                <w:sz w:val="18"/>
                <w:szCs w:val="18"/>
              </w:rPr>
              <w:t>revegetation</w:t>
            </w:r>
            <w:proofErr w:type="spellEnd"/>
            <w:r w:rsidRPr="00BA4F53">
              <w:rPr>
                <w:rFonts w:asciiTheme="minorHAnsi" w:hAnsiTheme="minorHAnsi" w:cstheme="minorHAnsi"/>
                <w:sz w:val="18"/>
                <w:szCs w:val="18"/>
              </w:rPr>
              <w:t xml:space="preserve"> elements (including the associated trials and/or plots) are removed from the estimate.</w:t>
            </w:r>
          </w:p>
        </w:tc>
      </w:tr>
      <w:tr w:rsidR="00211B11" w:rsidRPr="00BA4F53" w:rsidTr="00776D35">
        <w:tc>
          <w:tcPr>
            <w:tcW w:w="13320" w:type="dxa"/>
            <w:gridSpan w:val="4"/>
            <w:vAlign w:val="center"/>
          </w:tcPr>
          <w:p w:rsidR="00211B11" w:rsidRPr="00BA4F53" w:rsidRDefault="00211B11" w:rsidP="00E6154D">
            <w:pPr>
              <w:pStyle w:val="BodyText"/>
              <w:keepN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lastRenderedPageBreak/>
              <w:t>9.  Special Waste Disposition</w:t>
            </w:r>
          </w:p>
        </w:tc>
      </w:tr>
      <w:tr w:rsidR="00582B3E" w:rsidRPr="00BA4F53" w:rsidTr="00776D35">
        <w:trPr>
          <w:cantSplit/>
        </w:trPr>
        <w:tc>
          <w:tcPr>
            <w:tcW w:w="3214" w:type="dxa"/>
          </w:tcPr>
          <w:p w:rsidR="00582B3E" w:rsidRPr="00BA4F53" w:rsidRDefault="00211B11" w:rsidP="00E6154D">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A portion of the contaminated soil/rock inventory is anticipated to exhibit parameter levels above regulatory thresholds defining special or hazardous waste. This </w:t>
            </w:r>
            <w:r w:rsidR="008F4496" w:rsidRPr="00BA4F53">
              <w:rPr>
                <w:rFonts w:asciiTheme="minorHAnsi" w:hAnsiTheme="minorHAnsi" w:cstheme="minorHAnsi"/>
                <w:sz w:val="18"/>
                <w:szCs w:val="18"/>
              </w:rPr>
              <w:t>designation</w:t>
            </w:r>
            <w:r w:rsidRPr="00BA4F53">
              <w:rPr>
                <w:rFonts w:asciiTheme="minorHAnsi" w:hAnsiTheme="minorHAnsi" w:cstheme="minorHAnsi"/>
                <w:sz w:val="18"/>
                <w:szCs w:val="18"/>
              </w:rPr>
              <w:t xml:space="preserve"> </w:t>
            </w:r>
            <w:r w:rsidR="00E6154D">
              <w:rPr>
                <w:rFonts w:asciiTheme="minorHAnsi" w:hAnsiTheme="minorHAnsi" w:cstheme="minorHAnsi"/>
                <w:sz w:val="18"/>
                <w:szCs w:val="18"/>
              </w:rPr>
              <w:t>invokes</w:t>
            </w:r>
            <w:r w:rsidRPr="00BA4F53">
              <w:rPr>
                <w:rFonts w:asciiTheme="minorHAnsi" w:hAnsiTheme="minorHAnsi" w:cstheme="minorHAnsi"/>
                <w:sz w:val="18"/>
                <w:szCs w:val="18"/>
              </w:rPr>
              <w:t xml:space="preserve"> additional handling and disposition requirements for the materials involved.</w:t>
            </w:r>
          </w:p>
        </w:tc>
        <w:tc>
          <w:tcPr>
            <w:tcW w:w="3276" w:type="dxa"/>
          </w:tcPr>
          <w:p w:rsidR="00582B3E" w:rsidRPr="00BA4F53" w:rsidRDefault="00211B11"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This Phase 1 estimate assumed that the relatively modest proportion of Mount Nansen soils/rocks likely to be categorized as special waste would be directed to an existing, appropriately permitted facility near Fort Nelson, BC. This assumption was made largely to avoid the permitting and public consultation </w:t>
            </w:r>
            <w:r w:rsidR="00733B7F" w:rsidRPr="00BA4F53">
              <w:rPr>
                <w:rFonts w:asciiTheme="minorHAnsi" w:hAnsiTheme="minorHAnsi" w:cstheme="minorHAnsi"/>
                <w:sz w:val="18"/>
                <w:szCs w:val="18"/>
              </w:rPr>
              <w:t>liabilities</w:t>
            </w:r>
            <w:r w:rsidRPr="00BA4F53">
              <w:rPr>
                <w:rFonts w:asciiTheme="minorHAnsi" w:hAnsiTheme="minorHAnsi" w:cstheme="minorHAnsi"/>
                <w:sz w:val="18"/>
                <w:szCs w:val="18"/>
              </w:rPr>
              <w:t xml:space="preserve"> that are often created by locating special waste disposition facilities (usually landfills) on a source site.</w:t>
            </w:r>
          </w:p>
        </w:tc>
        <w:tc>
          <w:tcPr>
            <w:tcW w:w="3276" w:type="dxa"/>
          </w:tcPr>
          <w:p w:rsidR="00582B3E" w:rsidRPr="00BA4F53" w:rsidRDefault="00211B11"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While the Mount Nansen volumes involved are likely to be comparatively small, the very high unit costs of transport and disposal make this line item a significan</w:t>
            </w:r>
            <w:r w:rsidR="008F4496" w:rsidRPr="00BA4F53">
              <w:rPr>
                <w:rFonts w:asciiTheme="minorHAnsi" w:hAnsiTheme="minorHAnsi" w:cstheme="minorHAnsi"/>
                <w:sz w:val="18"/>
                <w:szCs w:val="18"/>
              </w:rPr>
              <w:t>t contributor</w:t>
            </w:r>
            <w:r w:rsidRPr="00BA4F53">
              <w:rPr>
                <w:rFonts w:asciiTheme="minorHAnsi" w:hAnsiTheme="minorHAnsi" w:cstheme="minorHAnsi"/>
                <w:sz w:val="18"/>
                <w:szCs w:val="18"/>
              </w:rPr>
              <w:t xml:space="preserve"> to the total project estimate. The decision to mitigate potential permitting and consultation </w:t>
            </w:r>
            <w:r w:rsidR="00733B7F" w:rsidRPr="00BA4F53">
              <w:rPr>
                <w:rFonts w:asciiTheme="minorHAnsi" w:hAnsiTheme="minorHAnsi" w:cstheme="minorHAnsi"/>
                <w:sz w:val="18"/>
                <w:szCs w:val="18"/>
              </w:rPr>
              <w:t>liabilities</w:t>
            </w:r>
            <w:r w:rsidRPr="00BA4F53">
              <w:rPr>
                <w:rFonts w:asciiTheme="minorHAnsi" w:hAnsiTheme="minorHAnsi" w:cstheme="minorHAnsi"/>
                <w:sz w:val="18"/>
                <w:szCs w:val="18"/>
              </w:rPr>
              <w:t xml:space="preserve"> via offsite disposition can be </w:t>
            </w:r>
            <w:r w:rsidR="0017380C" w:rsidRPr="00BA4F53">
              <w:rPr>
                <w:rFonts w:asciiTheme="minorHAnsi" w:hAnsiTheme="minorHAnsi" w:cstheme="minorHAnsi"/>
                <w:sz w:val="18"/>
                <w:szCs w:val="18"/>
              </w:rPr>
              <w:t>viewed as a conservative one. Technically, there is little reason to believe that an appropriate disposal capability for these materials could not be incorporated at much lower unit cost into the broader Open Pit containment design.</w:t>
            </w:r>
          </w:p>
        </w:tc>
        <w:tc>
          <w:tcPr>
            <w:tcW w:w="3554" w:type="dxa"/>
          </w:tcPr>
          <w:p w:rsidR="00582B3E" w:rsidRPr="00BA4F53" w:rsidRDefault="0017380C"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lower bound sensitivity assessment will assume that the special waste inventory will be directed to an appropriately engineered and dedicated location within the Open Pit containment structure. The incremental development costs for this dedicated </w:t>
            </w:r>
            <w:r w:rsidR="00252CCB" w:rsidRPr="00BA4F53">
              <w:rPr>
                <w:rFonts w:asciiTheme="minorHAnsi" w:hAnsiTheme="minorHAnsi" w:cstheme="minorHAnsi"/>
                <w:sz w:val="18"/>
                <w:szCs w:val="18"/>
              </w:rPr>
              <w:t>containment</w:t>
            </w:r>
            <w:r w:rsidRPr="00BA4F53">
              <w:rPr>
                <w:rFonts w:asciiTheme="minorHAnsi" w:hAnsiTheme="minorHAnsi" w:cstheme="minorHAnsi"/>
                <w:sz w:val="18"/>
                <w:szCs w:val="18"/>
              </w:rPr>
              <w:t xml:space="preserve"> structure will be assumed to be $100/</w:t>
            </w:r>
            <w:proofErr w:type="spellStart"/>
            <w:r w:rsidRPr="00BA4F53">
              <w:rPr>
                <w:rFonts w:asciiTheme="minorHAnsi" w:hAnsiTheme="minorHAnsi" w:cstheme="minorHAnsi"/>
                <w:sz w:val="18"/>
                <w:szCs w:val="18"/>
              </w:rPr>
              <w:t>m</w:t>
            </w:r>
            <w:r w:rsidRPr="00BA4F53">
              <w:rPr>
                <w:rFonts w:asciiTheme="minorHAnsi" w:hAnsiTheme="minorHAnsi" w:cstheme="minorHAnsi"/>
                <w:sz w:val="18"/>
                <w:szCs w:val="18"/>
                <w:vertAlign w:val="superscript"/>
              </w:rPr>
              <w:t>3</w:t>
            </w:r>
            <w:proofErr w:type="spellEnd"/>
            <w:r w:rsidRPr="00BA4F53">
              <w:rPr>
                <w:rFonts w:asciiTheme="minorHAnsi" w:hAnsiTheme="minorHAnsi" w:cstheme="minorHAnsi"/>
                <w:sz w:val="18"/>
                <w:szCs w:val="18"/>
              </w:rPr>
              <w:t>.</w:t>
            </w:r>
          </w:p>
        </w:tc>
      </w:tr>
      <w:tr w:rsidR="008F4496" w:rsidRPr="00BA4F53" w:rsidTr="00776D35">
        <w:tc>
          <w:tcPr>
            <w:tcW w:w="13320" w:type="dxa"/>
            <w:gridSpan w:val="4"/>
            <w:vAlign w:val="center"/>
          </w:tcPr>
          <w:p w:rsidR="008F4496" w:rsidRPr="00BA4F53" w:rsidRDefault="008F4496"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b/>
                <w:sz w:val="18"/>
                <w:szCs w:val="18"/>
              </w:rPr>
              <w:t xml:space="preserve">10.  Design Contingencies </w:t>
            </w:r>
          </w:p>
        </w:tc>
      </w:tr>
      <w:tr w:rsidR="008F4496" w:rsidRPr="00BA4F53" w:rsidTr="00776D35">
        <w:tc>
          <w:tcPr>
            <w:tcW w:w="3214" w:type="dxa"/>
          </w:tcPr>
          <w:p w:rsidR="008F4496" w:rsidRPr="00BA4F53" w:rsidRDefault="008F4496" w:rsidP="00965D38">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These are measures considered during Phase 1 to mitigate the risks that unacceptable degradations of do</w:t>
            </w:r>
            <w:r w:rsidR="003A1CFF">
              <w:rPr>
                <w:rFonts w:asciiTheme="minorHAnsi" w:hAnsiTheme="minorHAnsi" w:cstheme="minorHAnsi"/>
                <w:sz w:val="18"/>
                <w:szCs w:val="18"/>
              </w:rPr>
              <w:t>wnstream surface water quality c</w:t>
            </w:r>
            <w:r w:rsidRPr="00BA4F53">
              <w:rPr>
                <w:rFonts w:asciiTheme="minorHAnsi" w:hAnsiTheme="minorHAnsi" w:cstheme="minorHAnsi"/>
                <w:sz w:val="18"/>
                <w:szCs w:val="18"/>
              </w:rPr>
              <w:t>ould develop at some time following remediation.</w:t>
            </w:r>
          </w:p>
        </w:tc>
        <w:tc>
          <w:tcPr>
            <w:tcW w:w="3276" w:type="dxa"/>
          </w:tcPr>
          <w:p w:rsidR="008F4496" w:rsidRPr="00BA4F53" w:rsidRDefault="00965D38"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estimate included provisions for design contingencies focused on facilitating the collection of pit seepage (should they become necessary) to ensure compliant surface water quality.</w:t>
            </w:r>
          </w:p>
        </w:tc>
        <w:tc>
          <w:tcPr>
            <w:tcW w:w="3276" w:type="dxa"/>
          </w:tcPr>
          <w:p w:rsidR="008F4496" w:rsidRPr="00BA4F53" w:rsidRDefault="00965D38"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provision of these design contingencies was based on a conservative interpretation of pit containment and cover performance over the long term. There is a reasonable </w:t>
            </w:r>
            <w:r w:rsidR="003A1CFF">
              <w:rPr>
                <w:rFonts w:asciiTheme="minorHAnsi" w:hAnsiTheme="minorHAnsi" w:cstheme="minorHAnsi"/>
                <w:sz w:val="18"/>
                <w:szCs w:val="18"/>
              </w:rPr>
              <w:t>probability</w:t>
            </w:r>
            <w:r w:rsidRPr="00BA4F53">
              <w:rPr>
                <w:rFonts w:asciiTheme="minorHAnsi" w:hAnsiTheme="minorHAnsi" w:cstheme="minorHAnsi"/>
                <w:sz w:val="18"/>
                <w:szCs w:val="18"/>
              </w:rPr>
              <w:t xml:space="preserve"> that acceptable water qualities could be realized without </w:t>
            </w:r>
            <w:r w:rsidR="003A1CFF">
              <w:rPr>
                <w:rFonts w:asciiTheme="minorHAnsi" w:hAnsiTheme="minorHAnsi" w:cstheme="minorHAnsi"/>
                <w:sz w:val="18"/>
                <w:szCs w:val="18"/>
              </w:rPr>
              <w:t>invoking</w:t>
            </w:r>
            <w:r w:rsidRPr="00BA4F53">
              <w:rPr>
                <w:rFonts w:asciiTheme="minorHAnsi" w:hAnsiTheme="minorHAnsi" w:cstheme="minorHAnsi"/>
                <w:sz w:val="18"/>
                <w:szCs w:val="18"/>
              </w:rPr>
              <w:t xml:space="preserve"> these measures.</w:t>
            </w:r>
          </w:p>
        </w:tc>
        <w:tc>
          <w:tcPr>
            <w:tcW w:w="3554" w:type="dxa"/>
          </w:tcPr>
          <w:p w:rsidR="008F4496" w:rsidRPr="00BA4F53" w:rsidRDefault="00965D38"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lower bound sensitivity assessment </w:t>
            </w:r>
            <w:r w:rsidR="003A1CFF">
              <w:rPr>
                <w:rFonts w:asciiTheme="minorHAnsi" w:hAnsiTheme="minorHAnsi" w:cstheme="minorHAnsi"/>
                <w:sz w:val="18"/>
                <w:szCs w:val="18"/>
              </w:rPr>
              <w:t xml:space="preserve">will </w:t>
            </w:r>
            <w:r w:rsidRPr="00BA4F53">
              <w:rPr>
                <w:rFonts w:asciiTheme="minorHAnsi" w:hAnsiTheme="minorHAnsi" w:cstheme="minorHAnsi"/>
                <w:sz w:val="18"/>
                <w:szCs w:val="18"/>
              </w:rPr>
              <w:t>delete the provisions for design contingencies focused on mitigating surface water quality compliance risks.</w:t>
            </w:r>
          </w:p>
        </w:tc>
      </w:tr>
      <w:tr w:rsidR="00776D35" w:rsidRPr="00BA4F53" w:rsidTr="00CE7C7A">
        <w:tc>
          <w:tcPr>
            <w:tcW w:w="13320" w:type="dxa"/>
            <w:gridSpan w:val="4"/>
            <w:vAlign w:val="center"/>
          </w:tcPr>
          <w:p w:rsidR="00776D35" w:rsidRPr="00BA4F53" w:rsidRDefault="00776D35" w:rsidP="00776D35">
            <w:pPr>
              <w:pStyle w:val="BodyText"/>
              <w:spacing w:before="30" w:after="30" w:line="240" w:lineRule="auto"/>
              <w:ind w:left="0"/>
              <w:rPr>
                <w:rFonts w:asciiTheme="minorHAnsi" w:hAnsiTheme="minorHAnsi" w:cstheme="minorHAnsi"/>
                <w:sz w:val="18"/>
                <w:szCs w:val="18"/>
              </w:rPr>
            </w:pPr>
            <w:r>
              <w:rPr>
                <w:rFonts w:asciiTheme="minorHAnsi" w:hAnsiTheme="minorHAnsi" w:cstheme="minorHAnsi"/>
                <w:b/>
                <w:sz w:val="18"/>
                <w:szCs w:val="18"/>
              </w:rPr>
              <w:t>11</w:t>
            </w:r>
            <w:r w:rsidRPr="00BA4F53">
              <w:rPr>
                <w:rFonts w:asciiTheme="minorHAnsi" w:hAnsiTheme="minorHAnsi" w:cstheme="minorHAnsi"/>
                <w:b/>
                <w:sz w:val="18"/>
                <w:szCs w:val="18"/>
              </w:rPr>
              <w:t>.  Adaptive Management</w:t>
            </w:r>
          </w:p>
        </w:tc>
      </w:tr>
      <w:tr w:rsidR="00776D35" w:rsidRPr="00BA4F53" w:rsidTr="00CE7C7A">
        <w:tc>
          <w:tcPr>
            <w:tcW w:w="3214" w:type="dxa"/>
          </w:tcPr>
          <w:p w:rsidR="00776D35" w:rsidRPr="00BA4F53" w:rsidRDefault="00776D35" w:rsidP="00CE7C7A">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These are measures considered during Phase 1 to mitigate the risks that unacceptable degradations of do</w:t>
            </w:r>
            <w:r>
              <w:rPr>
                <w:rFonts w:asciiTheme="minorHAnsi" w:hAnsiTheme="minorHAnsi" w:cstheme="minorHAnsi"/>
                <w:sz w:val="18"/>
                <w:szCs w:val="18"/>
              </w:rPr>
              <w:t>wnstream surface water quality c</w:t>
            </w:r>
            <w:r w:rsidRPr="00BA4F53">
              <w:rPr>
                <w:rFonts w:asciiTheme="minorHAnsi" w:hAnsiTheme="minorHAnsi" w:cstheme="minorHAnsi"/>
                <w:sz w:val="18"/>
                <w:szCs w:val="18"/>
              </w:rPr>
              <w:t>ould develop at some time following remediation.</w:t>
            </w:r>
          </w:p>
        </w:tc>
        <w:tc>
          <w:tcPr>
            <w:tcW w:w="3276" w:type="dxa"/>
          </w:tcPr>
          <w:p w:rsidR="00776D35" w:rsidRPr="00BA4F53" w:rsidRDefault="00776D35"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The Phase 1 estimate included provisions for Adaptive Management measures ranging up to the long term treatment of pit seepage to ensure compliant surface water quality.</w:t>
            </w:r>
          </w:p>
        </w:tc>
        <w:tc>
          <w:tcPr>
            <w:tcW w:w="3276" w:type="dxa"/>
          </w:tcPr>
          <w:p w:rsidR="00776D35" w:rsidRPr="00BA4F53" w:rsidRDefault="00776D35"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provision of these Adaptive Management measures was based on a conservative interpretation of pit containment and cover performance over the long term. There is a reasonable </w:t>
            </w:r>
            <w:r>
              <w:rPr>
                <w:rFonts w:asciiTheme="minorHAnsi" w:hAnsiTheme="minorHAnsi" w:cstheme="minorHAnsi"/>
                <w:sz w:val="18"/>
                <w:szCs w:val="18"/>
              </w:rPr>
              <w:t>probability</w:t>
            </w:r>
            <w:r w:rsidRPr="00BA4F53">
              <w:rPr>
                <w:rFonts w:asciiTheme="minorHAnsi" w:hAnsiTheme="minorHAnsi" w:cstheme="minorHAnsi"/>
                <w:sz w:val="18"/>
                <w:szCs w:val="18"/>
              </w:rPr>
              <w:t xml:space="preserve"> that acceptable water qualities could be realized without </w:t>
            </w:r>
            <w:r>
              <w:rPr>
                <w:rFonts w:asciiTheme="minorHAnsi" w:hAnsiTheme="minorHAnsi" w:cstheme="minorHAnsi"/>
                <w:sz w:val="18"/>
                <w:szCs w:val="18"/>
              </w:rPr>
              <w:t>invoking</w:t>
            </w:r>
            <w:r w:rsidRPr="00BA4F53">
              <w:rPr>
                <w:rFonts w:asciiTheme="minorHAnsi" w:hAnsiTheme="minorHAnsi" w:cstheme="minorHAnsi"/>
                <w:sz w:val="18"/>
                <w:szCs w:val="18"/>
              </w:rPr>
              <w:t xml:space="preserve"> these measures.</w:t>
            </w:r>
          </w:p>
        </w:tc>
        <w:tc>
          <w:tcPr>
            <w:tcW w:w="3554" w:type="dxa"/>
          </w:tcPr>
          <w:p w:rsidR="00776D35" w:rsidRPr="00BA4F53" w:rsidRDefault="00776D35" w:rsidP="00776D35">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The lower bound sensitivity assessment </w:t>
            </w:r>
            <w:r>
              <w:rPr>
                <w:rFonts w:asciiTheme="minorHAnsi" w:hAnsiTheme="minorHAnsi" w:cstheme="minorHAnsi"/>
                <w:sz w:val="18"/>
                <w:szCs w:val="18"/>
              </w:rPr>
              <w:t xml:space="preserve">will </w:t>
            </w:r>
            <w:r w:rsidRPr="00BA4F53">
              <w:rPr>
                <w:rFonts w:asciiTheme="minorHAnsi" w:hAnsiTheme="minorHAnsi" w:cstheme="minorHAnsi"/>
                <w:sz w:val="18"/>
                <w:szCs w:val="18"/>
              </w:rPr>
              <w:t>delete the provisions for Adaptive Management measures focused on mitigating surface water quality compliance risks.</w:t>
            </w:r>
          </w:p>
        </w:tc>
      </w:tr>
    </w:tbl>
    <w:p w:rsidR="00C93480" w:rsidRPr="00BA4F53" w:rsidRDefault="00C93480" w:rsidP="001219B4">
      <w:pPr>
        <w:pStyle w:val="BodyText"/>
        <w:spacing w:before="0" w:line="240" w:lineRule="auto"/>
        <w:ind w:left="0"/>
      </w:pPr>
    </w:p>
    <w:p w:rsidR="00C93480" w:rsidRPr="00BA4F53" w:rsidRDefault="00C93480" w:rsidP="00E9768E">
      <w:pPr>
        <w:pStyle w:val="BodyText"/>
        <w:spacing w:before="0"/>
        <w:sectPr w:rsidR="00C93480" w:rsidRPr="00BA4F53" w:rsidSect="00C93480">
          <w:footerReference w:type="default" r:id="rId20"/>
          <w:pgSz w:w="15840" w:h="12240" w:orient="landscape" w:code="1"/>
          <w:pgMar w:top="720" w:right="1296" w:bottom="720" w:left="1296" w:header="720" w:footer="720" w:gutter="0"/>
          <w:cols w:space="720"/>
        </w:sectPr>
      </w:pPr>
    </w:p>
    <w:p w:rsidR="00703695" w:rsidRPr="00BA4F53" w:rsidRDefault="005611C8" w:rsidP="002A60F5">
      <w:pPr>
        <w:pStyle w:val="Heading1"/>
      </w:pPr>
      <w:bookmarkStart w:id="38" w:name="_Toc404336654"/>
      <w:bookmarkEnd w:id="34"/>
      <w:r w:rsidRPr="00BA4F53">
        <w:lastRenderedPageBreak/>
        <w:t>Sensitivity Assessment</w:t>
      </w:r>
      <w:bookmarkEnd w:id="38"/>
    </w:p>
    <w:p w:rsidR="00703695" w:rsidRPr="00334231" w:rsidRDefault="005611C8" w:rsidP="00334231">
      <w:pPr>
        <w:pStyle w:val="Heading2"/>
      </w:pPr>
      <w:bookmarkStart w:id="39" w:name="_Toc404336655"/>
      <w:r w:rsidRPr="00334231">
        <w:t>Format</w:t>
      </w:r>
      <w:bookmarkEnd w:id="39"/>
    </w:p>
    <w:p w:rsidR="005611C8" w:rsidRPr="00BA4F53" w:rsidRDefault="0092770E" w:rsidP="00427D8D">
      <w:pPr>
        <w:pStyle w:val="BodyText"/>
      </w:pPr>
      <w:r w:rsidRPr="00BA4F53">
        <w:t>The cost sensitivity analysis was undertaken using the worksheet</w:t>
      </w:r>
      <w:r w:rsidR="00D41AA6" w:rsidRPr="00BA4F53">
        <w:t>s</w:t>
      </w:r>
      <w:r w:rsidRPr="00BA4F53">
        <w:t xml:space="preserve"> </w:t>
      </w:r>
      <w:r w:rsidR="0090105F" w:rsidRPr="00BA4F53">
        <w:t xml:space="preserve">presented as Tables 4.1-1 and </w:t>
      </w:r>
      <w:r w:rsidR="0090105F" w:rsidRPr="00BA4F53">
        <w:br/>
        <w:t>4.1-2</w:t>
      </w:r>
      <w:r w:rsidRPr="00BA4F53">
        <w:t xml:space="preserve">. </w:t>
      </w:r>
      <w:r w:rsidR="0090105F" w:rsidRPr="00BA4F53">
        <w:t>These</w:t>
      </w:r>
      <w:r w:rsidRPr="00BA4F53">
        <w:t xml:space="preserve"> worksheets capture the range of input variations </w:t>
      </w:r>
      <w:r w:rsidR="0070154C" w:rsidRPr="00BA4F53">
        <w:t>described in Table 3.2-1</w:t>
      </w:r>
      <w:r w:rsidRPr="00BA4F53">
        <w:t>. The worksheets include both potential decreases and increases to scope and/or cost.</w:t>
      </w:r>
      <w:r w:rsidR="0090105F" w:rsidRPr="00BA4F53">
        <w:t xml:space="preserve"> Potential decreases are described in the lower bound estimate provided in Table</w:t>
      </w:r>
      <w:r w:rsidR="00025FA8">
        <w:t> </w:t>
      </w:r>
      <w:r w:rsidR="0090105F" w:rsidRPr="00BA4F53">
        <w:t>4.1-1, while potential increases are shown in the upper bound estimate provided in Table 4.1-2.</w:t>
      </w:r>
    </w:p>
    <w:p w:rsidR="0092770E" w:rsidRPr="00BA4F53" w:rsidRDefault="0090105F" w:rsidP="00427D8D">
      <w:pPr>
        <w:pStyle w:val="BodyText"/>
      </w:pPr>
      <w:r w:rsidRPr="00BA4F53">
        <w:t>Tables 4.1-1 and 4.1-2</w:t>
      </w:r>
      <w:r w:rsidR="0092770E" w:rsidRPr="00BA4F53">
        <w:t xml:space="preserve"> were developed using the following structure and format:</w:t>
      </w:r>
    </w:p>
    <w:p w:rsidR="005611C8" w:rsidRPr="00BA4F53" w:rsidRDefault="0092770E" w:rsidP="00427D8D">
      <w:pPr>
        <w:pStyle w:val="bullet0"/>
      </w:pPr>
      <w:r w:rsidRPr="00BA4F53">
        <w:t xml:space="preserve">The basic format borrows from the summary worksheet prepared for </w:t>
      </w:r>
      <w:r w:rsidR="00A4798F" w:rsidRPr="00BA4F53">
        <w:t>the Phase 1 estimate which presents costs for each construction season in the assumed execution schedule and then adds general project costs (e.g. design development, tendering, contingencies and Adaptive Management requirements) as individual line items.</w:t>
      </w:r>
    </w:p>
    <w:p w:rsidR="00A4798F" w:rsidRPr="00BA4F53" w:rsidRDefault="00A4798F" w:rsidP="00427D8D">
      <w:pPr>
        <w:pStyle w:val="bullet0"/>
      </w:pPr>
      <w:r w:rsidRPr="00BA4F53">
        <w:t xml:space="preserve">For the purposes of the sensitivity assessment, </w:t>
      </w:r>
      <w:r w:rsidR="00E97128" w:rsidRPr="00BA4F53">
        <w:t>line items for each construction season were sorted from greatest to lowest cost. This was done to focus reviews on those higher cost elements having the greatest influence on the overall estimate.</w:t>
      </w:r>
    </w:p>
    <w:p w:rsidR="00E97128" w:rsidRPr="00BA4F53" w:rsidRDefault="00E97128" w:rsidP="00427D8D">
      <w:pPr>
        <w:pStyle w:val="bullet0"/>
      </w:pPr>
      <w:r w:rsidRPr="00BA4F53">
        <w:t>Columns have been added to the worksheet to facilitate the adjustment of costs for each line item by a single specified factor. Another column has been added to describe the rationale for selecting the factor noted. Those line items that have been adjusted in the sensitivity assessment from the base estimate are identified by shading.</w:t>
      </w:r>
    </w:p>
    <w:p w:rsidR="00E97128" w:rsidRPr="00BA4F53" w:rsidRDefault="00E97128" w:rsidP="00427D8D">
      <w:pPr>
        <w:pStyle w:val="bullet0"/>
      </w:pPr>
      <w:r w:rsidRPr="00BA4F53">
        <w:t>The worksheet also incorporates selectable factors to assess inputs that apply globally to the estimate. These selectable factors are grouped and described at the top of the worksheet. Colour coding has been used to identify those particular line items that have been influenced by an individual factor.</w:t>
      </w:r>
    </w:p>
    <w:p w:rsidR="00E97128" w:rsidRPr="00BA4F53" w:rsidRDefault="00E97128" w:rsidP="00427D8D">
      <w:pPr>
        <w:pStyle w:val="bullet0"/>
      </w:pPr>
      <w:r w:rsidRPr="00BA4F53">
        <w:t>Adjustments to civil quantities that a factor might produce were completed in ways that maintained the overall materials balance (i.e. the linkages that exist between and amongst the various material categories were maintained as a single key input quantity was varied).</w:t>
      </w:r>
    </w:p>
    <w:p w:rsidR="0070154C" w:rsidRPr="00BA4F53" w:rsidRDefault="0070154C" w:rsidP="00427D8D">
      <w:pPr>
        <w:pStyle w:val="bullet0"/>
      </w:pPr>
      <w:r w:rsidRPr="00BA4F53">
        <w:t>Indirect costs have not been re-estimated, but simply modified in proportion to the change in direct costs, and then redistributed amongst the line items, again in proportion to the revised distribution of direct costs.</w:t>
      </w:r>
    </w:p>
    <w:p w:rsidR="00B346CB" w:rsidRPr="00BA4F53" w:rsidRDefault="00B346CB" w:rsidP="00427D8D">
      <w:pPr>
        <w:pStyle w:val="BodyText"/>
      </w:pPr>
      <w:r w:rsidRPr="00BA4F53">
        <w:br w:type="page"/>
      </w:r>
    </w:p>
    <w:p w:rsidR="00B346CB" w:rsidRPr="00BA4F53" w:rsidRDefault="00B346CB" w:rsidP="00B346CB">
      <w:pPr>
        <w:pStyle w:val="Table"/>
      </w:pPr>
      <w:bookmarkStart w:id="40" w:name="_Toc406511632"/>
      <w:r w:rsidRPr="00BA4F53">
        <w:lastRenderedPageBreak/>
        <w:t>Table 4.1-1:   Lower Bound Estimate</w:t>
      </w:r>
      <w:bookmarkEnd w:id="40"/>
    </w:p>
    <w:p w:rsidR="00427D8D" w:rsidRPr="00BA4F53" w:rsidRDefault="00427D8D">
      <w:pPr>
        <w:jc w:val="left"/>
      </w:pPr>
      <w:r w:rsidRPr="00BA4F53">
        <w:br w:type="page"/>
      </w:r>
    </w:p>
    <w:p w:rsidR="00427D8D" w:rsidRPr="00BA4F53" w:rsidRDefault="00427D8D">
      <w:pPr>
        <w:jc w:val="left"/>
      </w:pPr>
      <w:r w:rsidRPr="00BA4F53">
        <w:lastRenderedPageBreak/>
        <w:t>Table 4.1-1 page 2</w:t>
      </w:r>
    </w:p>
    <w:p w:rsidR="00B346CB" w:rsidRPr="00BA4F53" w:rsidRDefault="00B346CB">
      <w:pPr>
        <w:jc w:val="left"/>
        <w:rPr>
          <w:rFonts w:ascii="Shruti" w:hAnsi="Shruti" w:cs="Shruti"/>
          <w:b/>
          <w:bCs/>
          <w:sz w:val="20"/>
          <w:lang w:eastAsia="en-CA"/>
        </w:rPr>
      </w:pPr>
      <w:r w:rsidRPr="00BA4F53">
        <w:br w:type="page"/>
      </w:r>
    </w:p>
    <w:p w:rsidR="00B346CB" w:rsidRPr="00BA4F53" w:rsidRDefault="00B346CB" w:rsidP="00B346CB">
      <w:pPr>
        <w:pStyle w:val="Table"/>
      </w:pPr>
      <w:bookmarkStart w:id="41" w:name="_Toc406511633"/>
      <w:r w:rsidRPr="00BA4F53">
        <w:lastRenderedPageBreak/>
        <w:t>Table 4.1-2:  Upper Bound Estimate</w:t>
      </w:r>
      <w:bookmarkEnd w:id="41"/>
    </w:p>
    <w:p w:rsidR="00427D8D" w:rsidRPr="00BA4F53" w:rsidRDefault="00427D8D">
      <w:pPr>
        <w:jc w:val="left"/>
      </w:pPr>
      <w:r w:rsidRPr="00BA4F53">
        <w:br w:type="page"/>
      </w:r>
    </w:p>
    <w:p w:rsidR="00427D8D" w:rsidRPr="00BA4F53" w:rsidRDefault="00427D8D" w:rsidP="00427D8D">
      <w:pPr>
        <w:jc w:val="left"/>
      </w:pPr>
      <w:r w:rsidRPr="00BA4F53">
        <w:lastRenderedPageBreak/>
        <w:t>Table 4.1-2 page 2</w:t>
      </w:r>
    </w:p>
    <w:p w:rsidR="00B346CB" w:rsidRPr="00BA4F53" w:rsidRDefault="00B346CB">
      <w:pPr>
        <w:jc w:val="left"/>
        <w:rPr>
          <w:rFonts w:cs="Arial"/>
          <w:szCs w:val="22"/>
        </w:rPr>
      </w:pPr>
      <w:r w:rsidRPr="00BA4F53">
        <w:br w:type="page"/>
      </w:r>
    </w:p>
    <w:p w:rsidR="00427D8D" w:rsidRPr="00334231" w:rsidRDefault="00427D8D" w:rsidP="00334231">
      <w:pPr>
        <w:pStyle w:val="Heading2"/>
      </w:pPr>
      <w:bookmarkStart w:id="42" w:name="_Toc404336656"/>
      <w:r w:rsidRPr="00334231">
        <w:lastRenderedPageBreak/>
        <w:t>Assessment Outcomes</w:t>
      </w:r>
      <w:bookmarkEnd w:id="42"/>
    </w:p>
    <w:p w:rsidR="00427D8D" w:rsidRPr="00BA4F53" w:rsidRDefault="00427D8D" w:rsidP="00427D8D">
      <w:pPr>
        <w:pStyle w:val="BodyText"/>
      </w:pPr>
      <w:r w:rsidRPr="00BA4F53">
        <w:t>Tables 4.1-1 and 4.1-2 are developed from the potential adjustments to key estimating assumptions that were described and rationalized in Table 3.2-1. Table 4.2-1 summarizes both the lower and upper bound estimates against the base estimate and tabulates the variances from the base for each. These tables describe a lower bound estimate of about $60 M and an upper bound of $94 M, on a base estimate of some $90 M. The position of the base estimate within the limits of this range can be viewed as a rough indication of the degree of conservatism in the base estimate. However, this interpretation should be applied with caution, absent a more systematic, risk based quantification of the probabilities that might be attached to these figures.</w:t>
      </w:r>
    </w:p>
    <w:p w:rsidR="000C6392" w:rsidRPr="00BA4F53" w:rsidRDefault="000C6392" w:rsidP="005611C8">
      <w:pPr>
        <w:pStyle w:val="BodyText"/>
      </w:pPr>
      <w:r w:rsidRPr="00BA4F53">
        <w:t>The following sections summarize those parameters that have the greatest influence on the variances identified in Table 4.2-1.</w:t>
      </w:r>
    </w:p>
    <w:p w:rsidR="005611C8" w:rsidRPr="00BA4F53" w:rsidRDefault="000C6392" w:rsidP="000C6392">
      <w:pPr>
        <w:pStyle w:val="Heading3"/>
      </w:pPr>
      <w:bookmarkStart w:id="43" w:name="_Toc404336657"/>
      <w:r w:rsidRPr="00BA4F53">
        <w:t>Lower Bound Estimate</w:t>
      </w:r>
      <w:bookmarkEnd w:id="43"/>
    </w:p>
    <w:p w:rsidR="000C6392" w:rsidRPr="00BA4F53" w:rsidRDefault="000C6392" w:rsidP="005611C8">
      <w:pPr>
        <w:pStyle w:val="BodyText"/>
      </w:pPr>
      <w:r w:rsidRPr="00BA4F53">
        <w:t>Table 4.2-1 indicates that the following assumptions/issues are likely to have the greatest influence on potential reductions from the base estimate (in declining order of importance):</w:t>
      </w:r>
    </w:p>
    <w:p w:rsidR="000C6392" w:rsidRPr="00BA4F53" w:rsidRDefault="000C6392" w:rsidP="0070154C">
      <w:pPr>
        <w:pStyle w:val="bullet0"/>
      </w:pPr>
      <w:r w:rsidRPr="00BA4F53">
        <w:t xml:space="preserve">The specific materials handling methods applied for the movement of tailings and </w:t>
      </w:r>
      <w:proofErr w:type="spellStart"/>
      <w:r w:rsidRPr="00BA4F53">
        <w:t>PAG</w:t>
      </w:r>
      <w:proofErr w:type="spellEnd"/>
      <w:r w:rsidRPr="00BA4F53">
        <w:t xml:space="preserve"> rock to the Open Pit;</w:t>
      </w:r>
    </w:p>
    <w:p w:rsidR="000C6392" w:rsidRPr="00BA4F53" w:rsidRDefault="000C6392" w:rsidP="0070154C">
      <w:pPr>
        <w:pStyle w:val="bullet0"/>
      </w:pPr>
      <w:r w:rsidRPr="00BA4F53">
        <w:t xml:space="preserve">The configuration and efficiency of the </w:t>
      </w:r>
      <w:proofErr w:type="spellStart"/>
      <w:r w:rsidRPr="00BA4F53">
        <w:t>wellpoint</w:t>
      </w:r>
      <w:proofErr w:type="spellEnd"/>
      <w:r w:rsidRPr="00BA4F53">
        <w:t xml:space="preserve"> dewatering system used to facilitate the excavation of tailings;</w:t>
      </w:r>
    </w:p>
    <w:p w:rsidR="000C6392" w:rsidRPr="00BA4F53" w:rsidRDefault="000C6392" w:rsidP="0070154C">
      <w:pPr>
        <w:pStyle w:val="bullet0"/>
      </w:pPr>
      <w:r w:rsidRPr="00BA4F53">
        <w:t>The capacity, configuration and reagent consumption for the water treatment capability developed to accommodate waters incompatible with direct release;</w:t>
      </w:r>
    </w:p>
    <w:p w:rsidR="000C6392" w:rsidRPr="00BA4F53" w:rsidRDefault="000C6392" w:rsidP="0070154C">
      <w:pPr>
        <w:pStyle w:val="bullet0"/>
      </w:pPr>
      <w:r w:rsidRPr="00BA4F53">
        <w:t>The pit cover concepts and maintenance protocols applied to mitigate post remediation differential settlements in the backfilled pit;</w:t>
      </w:r>
    </w:p>
    <w:p w:rsidR="000C6392" w:rsidRPr="00BA4F53" w:rsidRDefault="000C6392" w:rsidP="0070154C">
      <w:pPr>
        <w:pStyle w:val="bullet0"/>
      </w:pPr>
      <w:r w:rsidRPr="00BA4F53">
        <w:t xml:space="preserve">The extent to which design contingencies and </w:t>
      </w:r>
      <w:r w:rsidR="00252CCB" w:rsidRPr="00BA4F53">
        <w:t>Adaptive</w:t>
      </w:r>
      <w:r w:rsidRPr="00BA4F53">
        <w:t xml:space="preserve"> Management protocols must be applied to mitigate risks associated with post remediation downstream surface water quality excursions;</w:t>
      </w:r>
    </w:p>
    <w:p w:rsidR="000C6392" w:rsidRPr="00BA4F53" w:rsidRDefault="000C6392" w:rsidP="0070154C">
      <w:pPr>
        <w:pStyle w:val="bullet0"/>
      </w:pPr>
      <w:r w:rsidRPr="00BA4F53">
        <w:t>The approach taken for the disposition of contaminated soils categorized as special waste (i.e.</w:t>
      </w:r>
      <w:r w:rsidR="00B346CB" w:rsidRPr="00BA4F53">
        <w:t> </w:t>
      </w:r>
      <w:r w:rsidRPr="00BA4F53">
        <w:t>onsite vs. offsite);</w:t>
      </w:r>
      <w:r w:rsidR="00FD6BF5" w:rsidRPr="00BA4F53">
        <w:t xml:space="preserve"> and</w:t>
      </w:r>
    </w:p>
    <w:p w:rsidR="000C6392" w:rsidRPr="00BA4F53" w:rsidRDefault="000C6392" w:rsidP="0070154C">
      <w:pPr>
        <w:pStyle w:val="bullet0"/>
      </w:pPr>
      <w:r w:rsidRPr="00BA4F53">
        <w:t xml:space="preserve">The extent to which reclamation concepts rely on </w:t>
      </w:r>
      <w:proofErr w:type="spellStart"/>
      <w:r w:rsidRPr="00BA4F53">
        <w:t>revegetated</w:t>
      </w:r>
      <w:proofErr w:type="spellEnd"/>
      <w:r w:rsidRPr="00BA4F53">
        <w:t xml:space="preserve"> v</w:t>
      </w:r>
      <w:r w:rsidR="00FD6BF5" w:rsidRPr="00BA4F53">
        <w:t>s. granular finished landscapes.</w:t>
      </w:r>
    </w:p>
    <w:p w:rsidR="00427D8D" w:rsidRPr="00BA4F53" w:rsidRDefault="00427D8D">
      <w:pPr>
        <w:jc w:val="left"/>
        <w:rPr>
          <w:rFonts w:eastAsiaTheme="minorHAnsi"/>
          <w:szCs w:val="22"/>
          <w:lang w:eastAsia="en-CA"/>
        </w:rPr>
      </w:pPr>
      <w:r w:rsidRPr="00BA4F53">
        <w:br w:type="page"/>
      </w:r>
    </w:p>
    <w:p w:rsidR="00427D8D" w:rsidRPr="00BA4F53" w:rsidRDefault="00427D8D" w:rsidP="00427D8D">
      <w:pPr>
        <w:pStyle w:val="Table"/>
      </w:pPr>
      <w:bookmarkStart w:id="44" w:name="_Toc406511634"/>
      <w:r w:rsidRPr="00BA4F53">
        <w:lastRenderedPageBreak/>
        <w:t>Table 4.2-1:  Summary of Lower and Upper Bound Estimates</w:t>
      </w:r>
      <w:bookmarkEnd w:id="44"/>
    </w:p>
    <w:p w:rsidR="00427D8D" w:rsidRPr="00BA4F53" w:rsidRDefault="00427D8D" w:rsidP="00427D8D">
      <w:pPr>
        <w:jc w:val="left"/>
      </w:pPr>
      <w:r w:rsidRPr="00BA4F53">
        <w:br w:type="page"/>
      </w:r>
    </w:p>
    <w:p w:rsidR="00427D8D" w:rsidRPr="00BA4F53" w:rsidRDefault="00427D8D" w:rsidP="00427D8D">
      <w:pPr>
        <w:jc w:val="left"/>
      </w:pPr>
      <w:r w:rsidRPr="00BA4F53">
        <w:lastRenderedPageBreak/>
        <w:t>Table 4.2-1 page 2</w:t>
      </w:r>
    </w:p>
    <w:p w:rsidR="00427D8D" w:rsidRPr="00BA4F53" w:rsidRDefault="00427D8D" w:rsidP="00427D8D">
      <w:pPr>
        <w:jc w:val="left"/>
        <w:rPr>
          <w:rFonts w:cs="Arial"/>
          <w:szCs w:val="22"/>
        </w:rPr>
      </w:pPr>
      <w:r w:rsidRPr="00BA4F53">
        <w:br w:type="page"/>
      </w:r>
    </w:p>
    <w:p w:rsidR="00427D8D" w:rsidRPr="00BA4F53" w:rsidRDefault="00427D8D" w:rsidP="00427D8D">
      <w:pPr>
        <w:jc w:val="left"/>
      </w:pPr>
      <w:r w:rsidRPr="00BA4F53">
        <w:lastRenderedPageBreak/>
        <w:t>Table 4.2-1 page 3</w:t>
      </w:r>
    </w:p>
    <w:p w:rsidR="00427D8D" w:rsidRPr="00BA4F53" w:rsidRDefault="00427D8D">
      <w:pPr>
        <w:jc w:val="left"/>
        <w:rPr>
          <w:rFonts w:eastAsiaTheme="minorHAnsi"/>
          <w:szCs w:val="22"/>
          <w:lang w:eastAsia="en-CA"/>
        </w:rPr>
      </w:pPr>
      <w:r w:rsidRPr="00BA4F53">
        <w:br w:type="page"/>
      </w:r>
    </w:p>
    <w:p w:rsidR="005611C8" w:rsidRPr="00BA4F53" w:rsidRDefault="00FD6BF5" w:rsidP="00FD6BF5">
      <w:pPr>
        <w:pStyle w:val="Heading3"/>
      </w:pPr>
      <w:bookmarkStart w:id="45" w:name="_Toc404336658"/>
      <w:r w:rsidRPr="00BA4F53">
        <w:lastRenderedPageBreak/>
        <w:t>Upper Bound Estimate</w:t>
      </w:r>
      <w:bookmarkEnd w:id="45"/>
    </w:p>
    <w:p w:rsidR="00FD6BF5" w:rsidRPr="00BA4F53" w:rsidRDefault="003A1CFF" w:rsidP="005611C8">
      <w:pPr>
        <w:pStyle w:val="BodyText"/>
      </w:pPr>
      <w:r>
        <w:t>Table 4.2-1</w:t>
      </w:r>
      <w:r w:rsidR="00FD6BF5" w:rsidRPr="00BA4F53">
        <w:t xml:space="preserve"> indicates that the following assumptions/issues are likely to have the greatest influence on potential increases to the base estimate (in declining order of importance):</w:t>
      </w:r>
    </w:p>
    <w:p w:rsidR="00FD6BF5" w:rsidRPr="00BA4F53" w:rsidRDefault="00FD6BF5" w:rsidP="0070154C">
      <w:pPr>
        <w:pStyle w:val="bullet0"/>
      </w:pPr>
      <w:r w:rsidRPr="00BA4F53">
        <w:t xml:space="preserve">The materials handling methods applied for the movement of tailings and </w:t>
      </w:r>
      <w:proofErr w:type="spellStart"/>
      <w:r w:rsidRPr="00BA4F53">
        <w:t>PAG</w:t>
      </w:r>
      <w:proofErr w:type="spellEnd"/>
      <w:r w:rsidRPr="00BA4F53">
        <w:t xml:space="preserve"> rock to the Open Pit (the appearance of this issue on both the lower and upper bound lists reflects the conclusion that the </w:t>
      </w:r>
      <w:r w:rsidR="00427D8D" w:rsidRPr="00BA4F53">
        <w:t>specific</w:t>
      </w:r>
      <w:r w:rsidRPr="00BA4F53">
        <w:t xml:space="preserve"> materials management methods and plans executed (and likely developed) by the contractor will have a major influence on project costs); and</w:t>
      </w:r>
    </w:p>
    <w:p w:rsidR="00FD6BF5" w:rsidRPr="00BA4F53" w:rsidRDefault="00FD6BF5" w:rsidP="0070154C">
      <w:pPr>
        <w:pStyle w:val="bullet0"/>
      </w:pPr>
      <w:r w:rsidRPr="00BA4F53">
        <w:t xml:space="preserve">The methods used to distinguish in the field between </w:t>
      </w:r>
      <w:proofErr w:type="spellStart"/>
      <w:r w:rsidRPr="00BA4F53">
        <w:t>PAG</w:t>
      </w:r>
      <w:proofErr w:type="spellEnd"/>
      <w:r w:rsidRPr="00BA4F53">
        <w:t xml:space="preserve"> and non-</w:t>
      </w:r>
      <w:proofErr w:type="spellStart"/>
      <w:r w:rsidRPr="00BA4F53">
        <w:t>PAG</w:t>
      </w:r>
      <w:proofErr w:type="spellEnd"/>
      <w:r w:rsidRPr="00BA4F53">
        <w:t xml:space="preserve"> waste rocks during project execution.</w:t>
      </w:r>
    </w:p>
    <w:p w:rsidR="00427D8D" w:rsidRPr="00BA4F53" w:rsidRDefault="00427D8D" w:rsidP="00427D8D">
      <w:pPr>
        <w:pStyle w:val="Heading2"/>
      </w:pPr>
      <w:bookmarkStart w:id="46" w:name="_Toc404336659"/>
      <w:r w:rsidRPr="00BA4F53">
        <w:t>Balancing Cost, Uncertainty and Risk</w:t>
      </w:r>
      <w:bookmarkEnd w:id="46"/>
    </w:p>
    <w:p w:rsidR="00427D8D" w:rsidRPr="00BA4F53" w:rsidRDefault="00427D8D" w:rsidP="00427D8D">
      <w:pPr>
        <w:pStyle w:val="BodyText"/>
      </w:pPr>
      <w:r w:rsidRPr="00BA4F53">
        <w:t xml:space="preserve">Ultimately, the objective of this review is to identify actions or opportunities for lowering the overall costs of the </w:t>
      </w:r>
      <w:proofErr w:type="spellStart"/>
      <w:r w:rsidRPr="00BA4F53">
        <w:t>MNRP</w:t>
      </w:r>
      <w:proofErr w:type="spellEnd"/>
      <w:r w:rsidRPr="00BA4F53">
        <w:t xml:space="preserve">. It is useful then to consider what decisions might be required, and/or what outcomes are needed, to realize costs approaching the lower bound estimate for the </w:t>
      </w:r>
      <w:proofErr w:type="spellStart"/>
      <w:r w:rsidRPr="00BA4F53">
        <w:t>MNRP</w:t>
      </w:r>
      <w:proofErr w:type="spellEnd"/>
      <w:r w:rsidRPr="00BA4F53">
        <w:t xml:space="preserve"> that is outlined in Table 4.1-1. For some issues, realizing these lower costs may be a matter of taking on higher risks and </w:t>
      </w:r>
      <w:r w:rsidR="0009367A">
        <w:t xml:space="preserve">accepting </w:t>
      </w:r>
      <w:r w:rsidRPr="00BA4F53">
        <w:t xml:space="preserve">the negative consequences potentially associated with them. For others, it is not really a matter of taking discretionary risk management decisions, but rather, </w:t>
      </w:r>
      <w:r w:rsidR="007F36E5">
        <w:t xml:space="preserve">mitigating </w:t>
      </w:r>
      <w:r w:rsidRPr="00BA4F53">
        <w:t>uncertainties in ways that produce positive cost outcomes</w:t>
      </w:r>
      <w:r w:rsidR="0009367A">
        <w:t xml:space="preserve"> through </w:t>
      </w:r>
      <w:r w:rsidR="0009367A" w:rsidRPr="00BA4F53">
        <w:t>additional design development activity</w:t>
      </w:r>
      <w:r w:rsidRPr="00BA4F53">
        <w:t xml:space="preserve"> (e.g. the physical efficiency of dewatering, the required rock/tails mix ratio, water treatment process requirements and efficiency). Predicting the likelihood that any particular set of risk management decisions and/or design development outcomes will produce an estimate trending towards the lower bound is difficult, absent a more detailed cost risk analysis exercise. However, some qualitative judgements and comments relating to how these issues might play out can be offered. Table 4.3-1 provides an assessment along these lines for the key scope issues influencing the lower bound cost estimate for the </w:t>
      </w:r>
      <w:proofErr w:type="spellStart"/>
      <w:r w:rsidRPr="00BA4F53">
        <w:t>MNRP</w:t>
      </w:r>
      <w:proofErr w:type="spellEnd"/>
      <w:r w:rsidRPr="00BA4F53">
        <w:t>.</w:t>
      </w:r>
    </w:p>
    <w:p w:rsidR="005611C8" w:rsidRPr="00BA4F53" w:rsidRDefault="005611C8" w:rsidP="00427D8D">
      <w:pPr>
        <w:pStyle w:val="BodyText"/>
        <w:ind w:left="0"/>
      </w:pPr>
      <w:bookmarkStart w:id="47" w:name="_Toc393442553"/>
    </w:p>
    <w:p w:rsidR="00B346CB" w:rsidRPr="00BA4F53" w:rsidRDefault="00B346CB" w:rsidP="005611C8">
      <w:pPr>
        <w:pStyle w:val="BodyText"/>
        <w:sectPr w:rsidR="00B346CB" w:rsidRPr="00BA4F53" w:rsidSect="00C93480">
          <w:footerReference w:type="default" r:id="rId21"/>
          <w:pgSz w:w="12240" w:h="15840" w:code="1"/>
          <w:pgMar w:top="720" w:right="1296" w:bottom="720" w:left="1296" w:header="720" w:footer="720" w:gutter="0"/>
          <w:cols w:space="720"/>
        </w:sectPr>
      </w:pPr>
    </w:p>
    <w:p w:rsidR="005611C8" w:rsidRPr="00BA4F53" w:rsidRDefault="00B346CB" w:rsidP="00B346CB">
      <w:pPr>
        <w:pStyle w:val="Table"/>
      </w:pPr>
      <w:bookmarkStart w:id="48" w:name="_Toc406511635"/>
      <w:r w:rsidRPr="00BA4F53">
        <w:lastRenderedPageBreak/>
        <w:t xml:space="preserve">Table 4.3-1:  Assessment of Key Scope, </w:t>
      </w:r>
      <w:r w:rsidR="00A30566" w:rsidRPr="00BA4F53">
        <w:t>Cost</w:t>
      </w:r>
      <w:r w:rsidRPr="00BA4F53">
        <w:t xml:space="preserve"> and Risk Issues</w:t>
      </w:r>
      <w:bookmarkEnd w:id="48"/>
    </w:p>
    <w:tbl>
      <w:tblPr>
        <w:tblStyle w:val="TableGrid"/>
        <w:tblW w:w="0" w:type="auto"/>
        <w:tblInd w:w="108" w:type="dxa"/>
        <w:tblLook w:val="04A0" w:firstRow="1" w:lastRow="0" w:firstColumn="1" w:lastColumn="0" w:noHBand="0" w:noVBand="1"/>
      </w:tblPr>
      <w:tblGrid>
        <w:gridCol w:w="3540"/>
        <w:gridCol w:w="3640"/>
        <w:gridCol w:w="3643"/>
        <w:gridCol w:w="3646"/>
        <w:gridCol w:w="3655"/>
        <w:gridCol w:w="3646"/>
      </w:tblGrid>
      <w:tr w:rsidR="0023018D" w:rsidRPr="00BA4F53" w:rsidTr="00252CCB">
        <w:trPr>
          <w:tblHeader/>
        </w:trPr>
        <w:tc>
          <w:tcPr>
            <w:tcW w:w="3576" w:type="dxa"/>
            <w:vAlign w:val="center"/>
          </w:tcPr>
          <w:p w:rsidR="0023018D" w:rsidRPr="00BA4F53" w:rsidRDefault="0023018D" w:rsidP="009B16D7">
            <w:pPr>
              <w:pStyle w:val="BodyText"/>
              <w:spacing w:before="40" w:after="40"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Issue</w:t>
            </w:r>
          </w:p>
        </w:tc>
        <w:tc>
          <w:tcPr>
            <w:tcW w:w="3684" w:type="dxa"/>
            <w:vAlign w:val="center"/>
          </w:tcPr>
          <w:p w:rsidR="0023018D" w:rsidRPr="00BA4F53" w:rsidRDefault="0023018D" w:rsidP="009B16D7">
            <w:pPr>
              <w:pStyle w:val="BodyText"/>
              <w:spacing w:before="40" w:after="40"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Desired Outcome</w:t>
            </w:r>
          </w:p>
        </w:tc>
        <w:tc>
          <w:tcPr>
            <w:tcW w:w="3684" w:type="dxa"/>
            <w:vAlign w:val="center"/>
          </w:tcPr>
          <w:p w:rsidR="0023018D" w:rsidRPr="00BA4F53" w:rsidRDefault="0023018D" w:rsidP="009B16D7">
            <w:pPr>
              <w:pStyle w:val="BodyText"/>
              <w:spacing w:before="40" w:after="40"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Probability of Desired Outcome</w:t>
            </w:r>
          </w:p>
        </w:tc>
        <w:tc>
          <w:tcPr>
            <w:tcW w:w="3684" w:type="dxa"/>
            <w:vAlign w:val="center"/>
          </w:tcPr>
          <w:p w:rsidR="0023018D" w:rsidRPr="00BA4F53" w:rsidRDefault="0023018D" w:rsidP="009B16D7">
            <w:pPr>
              <w:pStyle w:val="BodyText"/>
              <w:spacing w:before="40" w:after="40"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Partner Decisions/Actions Required</w:t>
            </w:r>
          </w:p>
        </w:tc>
        <w:tc>
          <w:tcPr>
            <w:tcW w:w="3684" w:type="dxa"/>
            <w:vAlign w:val="center"/>
          </w:tcPr>
          <w:p w:rsidR="0023018D" w:rsidRPr="00BA4F53" w:rsidRDefault="0023018D" w:rsidP="009B16D7">
            <w:pPr>
              <w:pStyle w:val="BodyText"/>
              <w:spacing w:before="40" w:after="40"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Associated Risks</w:t>
            </w:r>
          </w:p>
        </w:tc>
        <w:tc>
          <w:tcPr>
            <w:tcW w:w="3684" w:type="dxa"/>
            <w:vAlign w:val="center"/>
          </w:tcPr>
          <w:p w:rsidR="0023018D" w:rsidRPr="00BA4F53" w:rsidRDefault="0023018D" w:rsidP="009B16D7">
            <w:pPr>
              <w:pStyle w:val="BodyText"/>
              <w:spacing w:before="40" w:after="40" w:line="240" w:lineRule="auto"/>
              <w:ind w:left="0"/>
              <w:jc w:val="center"/>
              <w:rPr>
                <w:rFonts w:asciiTheme="minorHAnsi" w:hAnsiTheme="minorHAnsi" w:cstheme="minorHAnsi"/>
                <w:b/>
                <w:sz w:val="18"/>
                <w:szCs w:val="18"/>
              </w:rPr>
            </w:pPr>
            <w:r w:rsidRPr="00BA4F53">
              <w:rPr>
                <w:rFonts w:asciiTheme="minorHAnsi" w:hAnsiTheme="minorHAnsi" w:cstheme="minorHAnsi"/>
                <w:b/>
                <w:sz w:val="18"/>
                <w:szCs w:val="18"/>
              </w:rPr>
              <w:t>Risk Consequences</w:t>
            </w:r>
          </w:p>
        </w:tc>
      </w:tr>
      <w:tr w:rsidR="0023018D" w:rsidRPr="00BA4F53" w:rsidTr="0023018D">
        <w:tc>
          <w:tcPr>
            <w:tcW w:w="3576" w:type="dxa"/>
          </w:tcPr>
          <w:p w:rsidR="0023018D" w:rsidRPr="00BA4F53" w:rsidRDefault="0023018D"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 xml:space="preserve">Materials </w:t>
            </w:r>
            <w:r w:rsidR="00252CCB" w:rsidRPr="00BA4F53">
              <w:rPr>
                <w:rFonts w:asciiTheme="minorHAnsi" w:hAnsiTheme="minorHAnsi" w:cstheme="minorHAnsi"/>
                <w:sz w:val="18"/>
                <w:szCs w:val="18"/>
              </w:rPr>
              <w:t>H</w:t>
            </w:r>
            <w:r w:rsidRPr="00BA4F53">
              <w:rPr>
                <w:rFonts w:asciiTheme="minorHAnsi" w:hAnsiTheme="minorHAnsi" w:cstheme="minorHAnsi"/>
                <w:sz w:val="18"/>
                <w:szCs w:val="18"/>
              </w:rPr>
              <w:t xml:space="preserve">andling </w:t>
            </w:r>
            <w:r w:rsidR="00252CCB" w:rsidRPr="00BA4F53">
              <w:rPr>
                <w:rFonts w:asciiTheme="minorHAnsi" w:hAnsiTheme="minorHAnsi" w:cstheme="minorHAnsi"/>
                <w:sz w:val="18"/>
                <w:szCs w:val="18"/>
              </w:rPr>
              <w:t xml:space="preserve">Methods for Tailings and </w:t>
            </w:r>
            <w:proofErr w:type="spellStart"/>
            <w:r w:rsidR="00252CCB" w:rsidRPr="00BA4F53">
              <w:rPr>
                <w:rFonts w:asciiTheme="minorHAnsi" w:hAnsiTheme="minorHAnsi" w:cstheme="minorHAnsi"/>
                <w:sz w:val="18"/>
                <w:szCs w:val="18"/>
              </w:rPr>
              <w:t>PAG</w:t>
            </w:r>
            <w:proofErr w:type="spellEnd"/>
            <w:r w:rsidR="00252CCB" w:rsidRPr="00BA4F53">
              <w:rPr>
                <w:rFonts w:asciiTheme="minorHAnsi" w:hAnsiTheme="minorHAnsi" w:cstheme="minorHAnsi"/>
                <w:sz w:val="18"/>
                <w:szCs w:val="18"/>
              </w:rPr>
              <w:t xml:space="preserve"> R</w:t>
            </w:r>
            <w:r w:rsidRPr="00BA4F53">
              <w:rPr>
                <w:rFonts w:asciiTheme="minorHAnsi" w:hAnsiTheme="minorHAnsi" w:cstheme="minorHAnsi"/>
                <w:sz w:val="18"/>
                <w:szCs w:val="18"/>
              </w:rPr>
              <w:t>ock</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Preferred contractor proposes field validated execution methods that improve efficiency of materials handling.</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High; effective engagement of contracting community offers potential for identification of innovative materials handling proposals.</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Adoption of procurement processes that include a large</w:t>
            </w:r>
            <w:r w:rsidR="009B16D7" w:rsidRPr="00BA4F53">
              <w:rPr>
                <w:rFonts w:asciiTheme="minorHAnsi" w:hAnsiTheme="minorHAnsi" w:cstheme="minorHAnsi"/>
                <w:sz w:val="18"/>
                <w:szCs w:val="18"/>
              </w:rPr>
              <w:t>,</w:t>
            </w:r>
            <w:r w:rsidRPr="00BA4F53">
              <w:rPr>
                <w:rFonts w:asciiTheme="minorHAnsi" w:hAnsiTheme="minorHAnsi" w:cstheme="minorHAnsi"/>
                <w:sz w:val="18"/>
                <w:szCs w:val="18"/>
              </w:rPr>
              <w:t xml:space="preserve"> or full scale field validation step</w:t>
            </w:r>
          </w:p>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Adoption of more liberal pit backfill performance objectives (e.g. acceptance of wet material placement)</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Procurement process extends schedule without providing the efficiency improvements sought.</w:t>
            </w:r>
          </w:p>
          <w:p w:rsidR="0023018D"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Extended pit consolidation/settlement timelines </w:t>
            </w:r>
            <w:r w:rsidR="009B16D7" w:rsidRPr="00BA4F53">
              <w:rPr>
                <w:rFonts w:asciiTheme="minorHAnsi" w:hAnsiTheme="minorHAnsi" w:cstheme="minorHAnsi"/>
                <w:sz w:val="18"/>
                <w:szCs w:val="18"/>
              </w:rPr>
              <w:t>render</w:t>
            </w:r>
            <w:r w:rsidRPr="00BA4F53">
              <w:rPr>
                <w:rFonts w:asciiTheme="minorHAnsi" w:hAnsiTheme="minorHAnsi" w:cstheme="minorHAnsi"/>
                <w:sz w:val="18"/>
                <w:szCs w:val="18"/>
              </w:rPr>
              <w:t xml:space="preserve"> pit landscape unusable over an indefinite period.</w:t>
            </w:r>
          </w:p>
          <w:p w:rsidR="00440354" w:rsidRPr="00BA4F53" w:rsidRDefault="00440354" w:rsidP="009B16D7">
            <w:pPr>
              <w:pStyle w:val="BodyText"/>
              <w:spacing w:before="30" w:after="30" w:line="240" w:lineRule="auto"/>
              <w:ind w:left="0"/>
              <w:rPr>
                <w:rFonts w:asciiTheme="minorHAnsi" w:hAnsiTheme="minorHAnsi" w:cstheme="minorHAnsi"/>
                <w:sz w:val="18"/>
                <w:szCs w:val="18"/>
              </w:rPr>
            </w:pPr>
            <w:r>
              <w:rPr>
                <w:rFonts w:asciiTheme="minorHAnsi" w:hAnsiTheme="minorHAnsi" w:cstheme="minorHAnsi"/>
                <w:sz w:val="18"/>
                <w:szCs w:val="18"/>
              </w:rPr>
              <w:t>Alternate materials handling methods could compromise performance outcomes.</w:t>
            </w:r>
          </w:p>
        </w:tc>
        <w:tc>
          <w:tcPr>
            <w:tcW w:w="3684" w:type="dxa"/>
          </w:tcPr>
          <w:p w:rsidR="0023018D"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Moderate; unsuccessful </w:t>
            </w:r>
            <w:r w:rsidR="009B16D7" w:rsidRPr="00BA4F53">
              <w:rPr>
                <w:rFonts w:asciiTheme="minorHAnsi" w:hAnsiTheme="minorHAnsi" w:cstheme="minorHAnsi"/>
                <w:sz w:val="18"/>
                <w:szCs w:val="18"/>
              </w:rPr>
              <w:t xml:space="preserve">trial/procurement </w:t>
            </w:r>
            <w:r w:rsidRPr="00BA4F53">
              <w:rPr>
                <w:rFonts w:asciiTheme="minorHAnsi" w:hAnsiTheme="minorHAnsi" w:cstheme="minorHAnsi"/>
                <w:sz w:val="18"/>
                <w:szCs w:val="18"/>
              </w:rPr>
              <w:t>process could introduce significant new costs and/or delays.</w:t>
            </w:r>
          </w:p>
          <w:p w:rsidR="00440354" w:rsidRPr="00BA4F53" w:rsidRDefault="00440354" w:rsidP="009B16D7">
            <w:pPr>
              <w:pStyle w:val="BodyText"/>
              <w:spacing w:before="30" w:after="30" w:line="240" w:lineRule="auto"/>
              <w:ind w:left="0"/>
              <w:rPr>
                <w:rFonts w:asciiTheme="minorHAnsi" w:hAnsiTheme="minorHAnsi" w:cstheme="minorHAnsi"/>
                <w:sz w:val="18"/>
                <w:szCs w:val="18"/>
              </w:rPr>
            </w:pPr>
            <w:r>
              <w:rPr>
                <w:rFonts w:asciiTheme="minorHAnsi" w:hAnsiTheme="minorHAnsi" w:cstheme="minorHAnsi"/>
                <w:sz w:val="18"/>
                <w:szCs w:val="18"/>
              </w:rPr>
              <w:t>Degradation in water quality; compromised pit cover integrity/stability.</w:t>
            </w:r>
          </w:p>
        </w:tc>
      </w:tr>
      <w:tr w:rsidR="0023018D" w:rsidRPr="00BA4F53" w:rsidTr="0023018D">
        <w:tc>
          <w:tcPr>
            <w:tcW w:w="3576" w:type="dxa"/>
          </w:tcPr>
          <w:p w:rsidR="0023018D" w:rsidRPr="00BA4F53" w:rsidRDefault="00252CCB"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Tailings dewatering system configuration and efficiency (in practice, this issue will be related to, and integrated with, Issue 1)</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Per Issue 1</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High; per Issue 1.</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Per Issue 1.</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Per Issue 1.</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Moderate; per Issue 1.</w:t>
            </w:r>
          </w:p>
        </w:tc>
      </w:tr>
      <w:tr w:rsidR="0023018D" w:rsidRPr="00BA4F53" w:rsidTr="0023018D">
        <w:tc>
          <w:tcPr>
            <w:tcW w:w="3576" w:type="dxa"/>
          </w:tcPr>
          <w:p w:rsidR="0023018D" w:rsidRPr="00BA4F53" w:rsidRDefault="0023018D"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Water Treatment System</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 water treatment capacity with fewer process units, reduced reagent consumption and lower hydraulic throughput than the Phase 1 configuration.</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High; it is likely that Phase 2 design development will identify savings in water treatment concepts.</w:t>
            </w:r>
          </w:p>
        </w:tc>
        <w:tc>
          <w:tcPr>
            <w:tcW w:w="3684" w:type="dxa"/>
          </w:tcPr>
          <w:p w:rsidR="0023018D" w:rsidRPr="00BA4F53" w:rsidRDefault="0023018D"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Proceed with Phase 2 design development (i.e.</w:t>
            </w:r>
            <w:r w:rsidR="009B16D7" w:rsidRPr="00BA4F53">
              <w:rPr>
                <w:rFonts w:asciiTheme="minorHAnsi" w:hAnsiTheme="minorHAnsi" w:cstheme="minorHAnsi"/>
                <w:sz w:val="18"/>
                <w:szCs w:val="18"/>
              </w:rPr>
              <w:t> </w:t>
            </w:r>
            <w:r w:rsidRPr="00BA4F53">
              <w:rPr>
                <w:rFonts w:asciiTheme="minorHAnsi" w:hAnsiTheme="minorHAnsi" w:cstheme="minorHAnsi"/>
                <w:sz w:val="18"/>
                <w:szCs w:val="18"/>
              </w:rPr>
              <w:t>issue requires uncertain</w:t>
            </w:r>
            <w:r w:rsidR="0009367A">
              <w:rPr>
                <w:rFonts w:asciiTheme="minorHAnsi" w:hAnsiTheme="minorHAnsi" w:cstheme="minorHAnsi"/>
                <w:sz w:val="18"/>
                <w:szCs w:val="18"/>
              </w:rPr>
              <w:t>ty</w:t>
            </w:r>
            <w:r w:rsidR="009B16D7" w:rsidRPr="00BA4F53">
              <w:rPr>
                <w:rFonts w:asciiTheme="minorHAnsi" w:hAnsiTheme="minorHAnsi" w:cstheme="minorHAnsi"/>
                <w:sz w:val="18"/>
                <w:szCs w:val="18"/>
              </w:rPr>
              <w:t xml:space="preserve"> mitigation</w:t>
            </w:r>
            <w:r w:rsidRPr="00BA4F53">
              <w:rPr>
                <w:rFonts w:asciiTheme="minorHAnsi" w:hAnsiTheme="minorHAnsi" w:cstheme="minorHAnsi"/>
                <w:sz w:val="18"/>
                <w:szCs w:val="18"/>
              </w:rPr>
              <w:t xml:space="preserve"> via design development; there are no discretionary risk management options currently available).</w:t>
            </w:r>
          </w:p>
        </w:tc>
        <w:tc>
          <w:tcPr>
            <w:tcW w:w="3684" w:type="dxa"/>
          </w:tcPr>
          <w:p w:rsidR="0023018D"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Phase 2 design does not lower cost estimate.</w:t>
            </w:r>
          </w:p>
        </w:tc>
        <w:tc>
          <w:tcPr>
            <w:tcW w:w="3684" w:type="dxa"/>
          </w:tcPr>
          <w:p w:rsidR="0023018D"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Low.</w:t>
            </w:r>
          </w:p>
        </w:tc>
      </w:tr>
      <w:tr w:rsidR="00E15631" w:rsidRPr="00BA4F53" w:rsidTr="0023018D">
        <w:tc>
          <w:tcPr>
            <w:tcW w:w="3576" w:type="dxa"/>
          </w:tcPr>
          <w:p w:rsidR="00E15631" w:rsidRPr="00BA4F53" w:rsidRDefault="00E15631"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Pit Cover Concept</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Single cover constructed at remediation that facilitates mitigation of differential settlements via maintenance and avoids the need for a second permanent cover.</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Moderate; there is a reasonable probability that a single, maintainable cover concept can be developed.</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Acceptance of greater cover maintenance liability and potentially a more extended period of limitations on the utility of the pit landscape.</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Cover maintenance cannot adequately mitigate settlements, requiring a second, potentially more costly, permanent cover.</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Low; failure of the concept means reverting, in large part, to the two cover concept that is in the current base estimate.</w:t>
            </w:r>
          </w:p>
        </w:tc>
      </w:tr>
      <w:tr w:rsidR="00E15631" w:rsidRPr="00BA4F53" w:rsidTr="0023018D">
        <w:tc>
          <w:tcPr>
            <w:tcW w:w="3576" w:type="dxa"/>
          </w:tcPr>
          <w:p w:rsidR="00E15631" w:rsidRPr="00BA4F53" w:rsidRDefault="009B16D7"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Maintenance of Compliant</w:t>
            </w:r>
            <w:r w:rsidR="00E15631" w:rsidRPr="00BA4F53">
              <w:rPr>
                <w:rFonts w:asciiTheme="minorHAnsi" w:hAnsiTheme="minorHAnsi" w:cstheme="minorHAnsi"/>
                <w:sz w:val="18"/>
                <w:szCs w:val="18"/>
              </w:rPr>
              <w:t xml:space="preserve"> Surface Water Quality</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Maintenance of water quality compliance without the need for design contingencies (i.e.</w:t>
            </w:r>
            <w:r w:rsidR="009B16D7" w:rsidRPr="00BA4F53">
              <w:rPr>
                <w:rFonts w:asciiTheme="minorHAnsi" w:hAnsiTheme="minorHAnsi" w:cstheme="minorHAnsi"/>
                <w:sz w:val="18"/>
                <w:szCs w:val="18"/>
              </w:rPr>
              <w:t> </w:t>
            </w:r>
            <w:r w:rsidRPr="00BA4F53">
              <w:rPr>
                <w:rFonts w:asciiTheme="minorHAnsi" w:hAnsiTheme="minorHAnsi" w:cstheme="minorHAnsi"/>
                <w:sz w:val="18"/>
                <w:szCs w:val="18"/>
              </w:rPr>
              <w:t>pit drainage structures) or Adaptive Management protocols (principally, future water treatment).</w:t>
            </w:r>
          </w:p>
        </w:tc>
        <w:tc>
          <w:tcPr>
            <w:tcW w:w="3684" w:type="dxa"/>
          </w:tcPr>
          <w:p w:rsidR="00E15631" w:rsidRPr="00BA4F53" w:rsidRDefault="00E15631"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Moderate; there is a reasonable probability that an eff</w:t>
            </w:r>
            <w:r w:rsidR="009B16D7" w:rsidRPr="00BA4F53">
              <w:rPr>
                <w:rFonts w:asciiTheme="minorHAnsi" w:hAnsiTheme="minorHAnsi" w:cstheme="minorHAnsi"/>
                <w:sz w:val="18"/>
                <w:szCs w:val="18"/>
              </w:rPr>
              <w:t>ective pit containment concept c</w:t>
            </w:r>
            <w:r w:rsidRPr="00BA4F53">
              <w:rPr>
                <w:rFonts w:asciiTheme="minorHAnsi" w:hAnsiTheme="minorHAnsi" w:cstheme="minorHAnsi"/>
                <w:sz w:val="18"/>
                <w:szCs w:val="18"/>
              </w:rPr>
              <w:t>ould mitigate water quality concerns without additional supports.</w:t>
            </w:r>
          </w:p>
        </w:tc>
        <w:tc>
          <w:tcPr>
            <w:tcW w:w="3684" w:type="dxa"/>
          </w:tcPr>
          <w:p w:rsidR="00E15631" w:rsidRPr="00BA4F53" w:rsidRDefault="00733B7F"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Accepting a higher potential for water quality excursions and a reduced </w:t>
            </w:r>
            <w:r w:rsidR="00252CCB" w:rsidRPr="00BA4F53">
              <w:rPr>
                <w:rFonts w:asciiTheme="minorHAnsi" w:hAnsiTheme="minorHAnsi" w:cstheme="minorHAnsi"/>
                <w:sz w:val="18"/>
                <w:szCs w:val="18"/>
              </w:rPr>
              <w:t>capacity</w:t>
            </w:r>
            <w:r w:rsidRPr="00BA4F53">
              <w:rPr>
                <w:rFonts w:asciiTheme="minorHAnsi" w:hAnsiTheme="minorHAnsi" w:cstheme="minorHAnsi"/>
                <w:sz w:val="18"/>
                <w:szCs w:val="18"/>
              </w:rPr>
              <w:t xml:space="preserve"> for responding to those excursions.</w:t>
            </w:r>
          </w:p>
        </w:tc>
        <w:tc>
          <w:tcPr>
            <w:tcW w:w="3684" w:type="dxa"/>
          </w:tcPr>
          <w:p w:rsidR="00E15631" w:rsidRPr="00BA4F53" w:rsidRDefault="00733B7F"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Extended periods of non-compliant surface water quality that may not become evident for many years post remediation (i.e. when institutional memory of related issues and potential responses diminished).</w:t>
            </w:r>
          </w:p>
        </w:tc>
        <w:tc>
          <w:tcPr>
            <w:tcW w:w="3684" w:type="dxa"/>
          </w:tcPr>
          <w:p w:rsidR="00E15631" w:rsidRPr="00BA4F53" w:rsidRDefault="00733B7F"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High; water quality excursions would be difficult to address after the fact, and tolerating extended compliance excursions would undermine one of the central purposes for undertaking remediation at the Mount Nansen site.</w:t>
            </w:r>
          </w:p>
        </w:tc>
      </w:tr>
      <w:tr w:rsidR="00733B7F" w:rsidRPr="00BA4F53" w:rsidTr="0023018D">
        <w:tc>
          <w:tcPr>
            <w:tcW w:w="3576" w:type="dxa"/>
          </w:tcPr>
          <w:p w:rsidR="00733B7F" w:rsidRPr="00BA4F53" w:rsidRDefault="00733B7F"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Disposition of Soils Classified as Special Wastes</w:t>
            </w:r>
          </w:p>
        </w:tc>
        <w:tc>
          <w:tcPr>
            <w:tcW w:w="3684" w:type="dxa"/>
          </w:tcPr>
          <w:p w:rsidR="00733B7F" w:rsidRPr="00BA4F53" w:rsidRDefault="00733B7F"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Disposal onsite (i.e. dedicated cell incorporated within pit containment structure).</w:t>
            </w:r>
          </w:p>
        </w:tc>
        <w:tc>
          <w:tcPr>
            <w:tcW w:w="3684" w:type="dxa"/>
          </w:tcPr>
          <w:p w:rsidR="00733B7F"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High; proposal is technically straightforward to develop and defend.</w:t>
            </w:r>
          </w:p>
        </w:tc>
        <w:tc>
          <w:tcPr>
            <w:tcW w:w="3684" w:type="dxa"/>
          </w:tcPr>
          <w:p w:rsidR="00733B7F" w:rsidRPr="00BA4F53" w:rsidRDefault="00733B7F"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Accepting additional permitting and public consultation liability associated with onsite special waste facility development.</w:t>
            </w:r>
          </w:p>
        </w:tc>
        <w:tc>
          <w:tcPr>
            <w:tcW w:w="3684" w:type="dxa"/>
          </w:tcPr>
          <w:p w:rsidR="00733B7F" w:rsidRPr="00BA4F53" w:rsidRDefault="00733B7F"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Proposal for onsite disposition is rejected at a </w:t>
            </w:r>
            <w:r w:rsidR="00252CCB" w:rsidRPr="00BA4F53">
              <w:rPr>
                <w:rFonts w:asciiTheme="minorHAnsi" w:hAnsiTheme="minorHAnsi" w:cstheme="minorHAnsi"/>
                <w:sz w:val="18"/>
                <w:szCs w:val="18"/>
              </w:rPr>
              <w:t>later</w:t>
            </w:r>
            <w:r w:rsidRPr="00BA4F53">
              <w:rPr>
                <w:rFonts w:asciiTheme="minorHAnsi" w:hAnsiTheme="minorHAnsi" w:cstheme="minorHAnsi"/>
                <w:sz w:val="18"/>
                <w:szCs w:val="18"/>
              </w:rPr>
              <w:t xml:space="preserve"> stage of project development.</w:t>
            </w:r>
          </w:p>
        </w:tc>
        <w:tc>
          <w:tcPr>
            <w:tcW w:w="3684" w:type="dxa"/>
          </w:tcPr>
          <w:p w:rsidR="00733B7F"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Low; rejection of concept means reverting to the base estimate (with perhaps some incremental costs related to delays and proposal development).</w:t>
            </w:r>
          </w:p>
        </w:tc>
      </w:tr>
      <w:tr w:rsidR="00591EA8" w:rsidRPr="00BA4F53" w:rsidTr="0023018D">
        <w:tc>
          <w:tcPr>
            <w:tcW w:w="3576" w:type="dxa"/>
          </w:tcPr>
          <w:p w:rsidR="00591EA8" w:rsidRPr="00BA4F53" w:rsidRDefault="00591EA8" w:rsidP="00CE06DB">
            <w:pPr>
              <w:pStyle w:val="BodyText"/>
              <w:numPr>
                <w:ilvl w:val="0"/>
                <w:numId w:val="32"/>
              </w:numPr>
              <w:spacing w:before="30" w:after="30" w:line="240" w:lineRule="auto"/>
              <w:ind w:left="360"/>
              <w:rPr>
                <w:rFonts w:asciiTheme="minorHAnsi" w:hAnsiTheme="minorHAnsi" w:cstheme="minorHAnsi"/>
                <w:sz w:val="18"/>
                <w:szCs w:val="18"/>
              </w:rPr>
            </w:pPr>
            <w:r w:rsidRPr="00BA4F53">
              <w:rPr>
                <w:rFonts w:asciiTheme="minorHAnsi" w:hAnsiTheme="minorHAnsi" w:cstheme="minorHAnsi"/>
                <w:sz w:val="18"/>
                <w:szCs w:val="18"/>
              </w:rPr>
              <w:t xml:space="preserve">Use of </w:t>
            </w:r>
            <w:proofErr w:type="spellStart"/>
            <w:r w:rsidRPr="00BA4F53">
              <w:rPr>
                <w:rFonts w:asciiTheme="minorHAnsi" w:hAnsiTheme="minorHAnsi" w:cstheme="minorHAnsi"/>
                <w:sz w:val="18"/>
                <w:szCs w:val="18"/>
              </w:rPr>
              <w:t>Revegetation</w:t>
            </w:r>
            <w:proofErr w:type="spellEnd"/>
            <w:r w:rsidRPr="00BA4F53">
              <w:rPr>
                <w:rFonts w:asciiTheme="minorHAnsi" w:hAnsiTheme="minorHAnsi" w:cstheme="minorHAnsi"/>
                <w:sz w:val="18"/>
                <w:szCs w:val="18"/>
              </w:rPr>
              <w:t xml:space="preserve"> in Reclamation Concepts</w:t>
            </w:r>
          </w:p>
        </w:tc>
        <w:tc>
          <w:tcPr>
            <w:tcW w:w="3684" w:type="dxa"/>
          </w:tcPr>
          <w:p w:rsidR="00591EA8"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Reclamation plans that do not rely on </w:t>
            </w:r>
            <w:proofErr w:type="spellStart"/>
            <w:r w:rsidRPr="00BA4F53">
              <w:rPr>
                <w:rFonts w:asciiTheme="minorHAnsi" w:hAnsiTheme="minorHAnsi" w:cstheme="minorHAnsi"/>
                <w:sz w:val="18"/>
                <w:szCs w:val="18"/>
              </w:rPr>
              <w:t>revegetated</w:t>
            </w:r>
            <w:proofErr w:type="spellEnd"/>
            <w:r w:rsidRPr="00BA4F53">
              <w:rPr>
                <w:rFonts w:asciiTheme="minorHAnsi" w:hAnsiTheme="minorHAnsi" w:cstheme="minorHAnsi"/>
                <w:sz w:val="18"/>
                <w:szCs w:val="18"/>
              </w:rPr>
              <w:t xml:space="preserve"> landscapes.</w:t>
            </w:r>
          </w:p>
        </w:tc>
        <w:tc>
          <w:tcPr>
            <w:tcW w:w="3684" w:type="dxa"/>
          </w:tcPr>
          <w:p w:rsidR="00591EA8"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Moderate; proposal is technically straightforward to develop, but acceptance may be dependent on the subjective views of public stakeholders.</w:t>
            </w:r>
          </w:p>
        </w:tc>
        <w:tc>
          <w:tcPr>
            <w:tcW w:w="3684" w:type="dxa"/>
          </w:tcPr>
          <w:p w:rsidR="00591EA8"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Accepting additional permitting and public consultation liability potentially associated with reclamation plans proposing granular landscapes.</w:t>
            </w:r>
          </w:p>
        </w:tc>
        <w:tc>
          <w:tcPr>
            <w:tcW w:w="3684" w:type="dxa"/>
          </w:tcPr>
          <w:p w:rsidR="00591EA8"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 xml:space="preserve">Proposed reclamation plans rejected at a </w:t>
            </w:r>
            <w:r w:rsidR="00252CCB" w:rsidRPr="00BA4F53">
              <w:rPr>
                <w:rFonts w:asciiTheme="minorHAnsi" w:hAnsiTheme="minorHAnsi" w:cstheme="minorHAnsi"/>
                <w:sz w:val="18"/>
                <w:szCs w:val="18"/>
              </w:rPr>
              <w:t>later</w:t>
            </w:r>
            <w:r w:rsidRPr="00BA4F53">
              <w:rPr>
                <w:rFonts w:asciiTheme="minorHAnsi" w:hAnsiTheme="minorHAnsi" w:cstheme="minorHAnsi"/>
                <w:sz w:val="18"/>
                <w:szCs w:val="18"/>
              </w:rPr>
              <w:t xml:space="preserve"> stage of project development.</w:t>
            </w:r>
          </w:p>
        </w:tc>
        <w:tc>
          <w:tcPr>
            <w:tcW w:w="3684" w:type="dxa"/>
          </w:tcPr>
          <w:p w:rsidR="00591EA8" w:rsidRPr="00BA4F53" w:rsidRDefault="00591EA8" w:rsidP="009B16D7">
            <w:pPr>
              <w:pStyle w:val="BodyText"/>
              <w:spacing w:before="30" w:after="30" w:line="240" w:lineRule="auto"/>
              <w:ind w:left="0"/>
              <w:rPr>
                <w:rFonts w:asciiTheme="minorHAnsi" w:hAnsiTheme="minorHAnsi" w:cstheme="minorHAnsi"/>
                <w:sz w:val="18"/>
                <w:szCs w:val="18"/>
              </w:rPr>
            </w:pPr>
            <w:r w:rsidRPr="00BA4F53">
              <w:rPr>
                <w:rFonts w:asciiTheme="minorHAnsi" w:hAnsiTheme="minorHAnsi" w:cstheme="minorHAnsi"/>
                <w:sz w:val="18"/>
                <w:szCs w:val="18"/>
              </w:rPr>
              <w:t>Low; rejection of the concept means reverting to the base estimate (with perhaps some incremental costs related to delays and proposal development).</w:t>
            </w:r>
          </w:p>
        </w:tc>
      </w:tr>
    </w:tbl>
    <w:p w:rsidR="00B346CB" w:rsidRPr="00BA4F53" w:rsidRDefault="00B346CB" w:rsidP="00B346CB">
      <w:pPr>
        <w:pStyle w:val="BodyText"/>
        <w:ind w:left="0"/>
      </w:pPr>
    </w:p>
    <w:p w:rsidR="00B346CB" w:rsidRPr="00BA4F53" w:rsidRDefault="00B346CB" w:rsidP="005611C8">
      <w:pPr>
        <w:pStyle w:val="BodyText"/>
        <w:sectPr w:rsidR="00B346CB" w:rsidRPr="00BA4F53" w:rsidSect="0023018D">
          <w:footerReference w:type="default" r:id="rId22"/>
          <w:pgSz w:w="24480" w:h="15840" w:orient="landscape" w:code="17"/>
          <w:pgMar w:top="720" w:right="1296" w:bottom="720" w:left="1296" w:header="720" w:footer="720" w:gutter="0"/>
          <w:cols w:space="720"/>
        </w:sectPr>
      </w:pPr>
    </w:p>
    <w:p w:rsidR="00703695" w:rsidRPr="00BA4F53" w:rsidRDefault="005611C8" w:rsidP="002A60F5">
      <w:pPr>
        <w:pStyle w:val="Heading1"/>
      </w:pPr>
      <w:bookmarkStart w:id="49" w:name="_Toc404336660"/>
      <w:bookmarkEnd w:id="47"/>
      <w:r w:rsidRPr="00BA4F53">
        <w:lastRenderedPageBreak/>
        <w:t>Cost Reduction Opportunities</w:t>
      </w:r>
      <w:bookmarkEnd w:id="49"/>
    </w:p>
    <w:p w:rsidR="00703695" w:rsidRPr="00BA4F53" w:rsidRDefault="005611C8" w:rsidP="000332F9">
      <w:pPr>
        <w:pStyle w:val="Heading2"/>
      </w:pPr>
      <w:bookmarkStart w:id="50" w:name="_Toc404336661"/>
      <w:r w:rsidRPr="00BA4F53">
        <w:t>Reducing Uncertainty</w:t>
      </w:r>
      <w:bookmarkEnd w:id="50"/>
    </w:p>
    <w:p w:rsidR="005611C8" w:rsidRPr="00BA4F53" w:rsidRDefault="00D41AA6" w:rsidP="000332F9">
      <w:pPr>
        <w:pStyle w:val="Heading3"/>
      </w:pPr>
      <w:bookmarkStart w:id="51" w:name="_Toc404336662"/>
      <w:r w:rsidRPr="00BA4F53">
        <w:t>Design Development</w:t>
      </w:r>
      <w:bookmarkEnd w:id="51"/>
    </w:p>
    <w:p w:rsidR="005611C8" w:rsidRPr="00BA4F53" w:rsidRDefault="00D41AA6" w:rsidP="000332F9">
      <w:pPr>
        <w:pStyle w:val="BodyText"/>
      </w:pPr>
      <w:r w:rsidRPr="00BA4F53">
        <w:t>The sensitivity assessment in Section 4 attempts to characterize the influence of uncertainty on the Phase 1 cost estimate. The progression of any design beyond the 30% milestone (i.e. Phase 1) reduce</w:t>
      </w:r>
      <w:r w:rsidR="000332F9" w:rsidRPr="00BA4F53">
        <w:t>s</w:t>
      </w:r>
      <w:r w:rsidRPr="00BA4F53">
        <w:t xml:space="preserve"> uncertainties and increase</w:t>
      </w:r>
      <w:r w:rsidR="000332F9" w:rsidRPr="00BA4F53">
        <w:t>s</w:t>
      </w:r>
      <w:r w:rsidRPr="00BA4F53">
        <w:t xml:space="preserve"> the reliability of cost estimates, and AMEC expects that will apply to the </w:t>
      </w:r>
      <w:proofErr w:type="spellStart"/>
      <w:r w:rsidRPr="00BA4F53">
        <w:t>MNRP</w:t>
      </w:r>
      <w:proofErr w:type="spellEnd"/>
      <w:r w:rsidRPr="00BA4F53">
        <w:t>. The sensitivity analysis illustrates the limits to providing more cost definition and certainty in advance of this additional design development activity. This section examines approaches for reducing</w:t>
      </w:r>
      <w:r w:rsidR="000332F9" w:rsidRPr="00BA4F53">
        <w:t>,</w:t>
      </w:r>
      <w:r w:rsidRPr="00BA4F53">
        <w:t xml:space="preserve"> or at least managing uncertainty in ways that could lead to cost reductions, and discusses potential adjustments or changes to project scope elements that might also open opportunities for reduced costs.</w:t>
      </w:r>
    </w:p>
    <w:p w:rsidR="00D41AA6" w:rsidRPr="00BA4F53" w:rsidRDefault="00D41AA6" w:rsidP="000332F9">
      <w:pPr>
        <w:pStyle w:val="Heading3"/>
      </w:pPr>
      <w:bookmarkStart w:id="52" w:name="_Toc404336663"/>
      <w:r w:rsidRPr="00BA4F53">
        <w:t>Contractor Engagement</w:t>
      </w:r>
      <w:bookmarkEnd w:id="52"/>
    </w:p>
    <w:p w:rsidR="000332F9" w:rsidRPr="00BA4F53" w:rsidRDefault="00396421" w:rsidP="000332F9">
      <w:pPr>
        <w:pStyle w:val="BodyText"/>
      </w:pPr>
      <w:r w:rsidRPr="00BA4F53">
        <w:t xml:space="preserve">It is clear that additional work is required to define detailed execution strategies that properly balance execution performance, risk and cost. </w:t>
      </w:r>
      <w:r w:rsidR="00084665" w:rsidRPr="00BA4F53">
        <w:t>The Phase 2 design development scope includes examining</w:t>
      </w:r>
      <w:r w:rsidRPr="00BA4F53">
        <w:t xml:space="preserve"> those execution and procurement strategies that are most likely to achieve this. </w:t>
      </w:r>
      <w:r w:rsidR="00084665" w:rsidRPr="00BA4F53">
        <w:t>AMEC</w:t>
      </w:r>
      <w:r w:rsidRPr="00BA4F53">
        <w:t xml:space="preserve"> believe</w:t>
      </w:r>
      <w:r w:rsidR="00084665" w:rsidRPr="00BA4F53">
        <w:t>s</w:t>
      </w:r>
      <w:r w:rsidRPr="00BA4F53">
        <w:t xml:space="preserve"> that the most effective way to finalize methods, mitigate detailed execution uncertainties, incorporate proprietary or innovative expertise, achieve fair pricing, and minimize chances of contractor </w:t>
      </w:r>
      <w:r w:rsidR="00084665" w:rsidRPr="00BA4F53">
        <w:br/>
      </w:r>
      <w:r w:rsidRPr="00BA4F53">
        <w:t>non-performance</w:t>
      </w:r>
      <w:r w:rsidR="00084665" w:rsidRPr="00BA4F53">
        <w:t>,</w:t>
      </w:r>
      <w:r w:rsidRPr="00BA4F53">
        <w:t xml:space="preserve"> will be to engage the contracting community in the final development of detailed methods and prices. The most effective way to engage the contracting community will likely be to tender with facts and performance objectives/specifications only (no methods) and allow contractors to apply their expertise and equipment with as few boundary conditions as possible. For this to work, the design team must be confident that the objectives/specifications are achievable. </w:t>
      </w:r>
      <w:r w:rsidR="000332F9" w:rsidRPr="00BA4F53">
        <w:t>The</w:t>
      </w:r>
      <w:r w:rsidRPr="00BA4F53">
        <w:t xml:space="preserve"> key </w:t>
      </w:r>
      <w:r w:rsidR="000332F9" w:rsidRPr="00BA4F53">
        <w:t xml:space="preserve">project </w:t>
      </w:r>
      <w:r w:rsidRPr="00BA4F53">
        <w:t xml:space="preserve">performance specifications will relate to placed fill characteristics (which could range anywhere from ‘placed within the pit’ to ‘placed to a specified Proctor density’). </w:t>
      </w:r>
    </w:p>
    <w:p w:rsidR="000332F9" w:rsidRPr="00BA4F53" w:rsidRDefault="00396421" w:rsidP="000332F9">
      <w:pPr>
        <w:pStyle w:val="BodyText"/>
      </w:pPr>
      <w:r w:rsidRPr="00BA4F53">
        <w:t xml:space="preserve">To achieve fair pricing given the unmitigated uncertainties and risks that even capable contractors will need to manage after a comprehensive consideration of available data, </w:t>
      </w:r>
      <w:r w:rsidR="00084665" w:rsidRPr="00BA4F53">
        <w:t>AMEC believes that</w:t>
      </w:r>
      <w:r w:rsidRPr="00BA4F53">
        <w:t xml:space="preserve"> approaches in which the execution contract is staged in some fashion</w:t>
      </w:r>
      <w:r w:rsidR="00084665" w:rsidRPr="00BA4F53">
        <w:t xml:space="preserve"> should be considered (see potential options outlined in Table 5.1.2-1)</w:t>
      </w:r>
      <w:r w:rsidRPr="00BA4F53">
        <w:t>. The point of the first stage would be to allow the contractor to refine methods and pricing, and for the Owner to re-tender subsequent phases if outcomes and/or pricing do not satisfy contracting objectives (i.e. a process that gives both contractor and Owner “off ramps” if the initial assessments of uncertainties, risks and costs are misjudged). The overriding point will be to achieve fair pricing (i.e. pricing not burdened with contingencies covering unmitigated risks) for the largest possible proportion of the materials inventory.</w:t>
      </w:r>
    </w:p>
    <w:p w:rsidR="00084665" w:rsidRPr="00BA4F53" w:rsidRDefault="00084665" w:rsidP="005611C8">
      <w:pPr>
        <w:pStyle w:val="BodyText"/>
        <w:sectPr w:rsidR="00084665" w:rsidRPr="00BA4F53" w:rsidSect="00C93480">
          <w:footerReference w:type="default" r:id="rId23"/>
          <w:pgSz w:w="12240" w:h="15840" w:code="1"/>
          <w:pgMar w:top="720" w:right="1296" w:bottom="720" w:left="1296" w:header="720" w:footer="720" w:gutter="0"/>
          <w:cols w:space="720"/>
        </w:sectPr>
      </w:pPr>
    </w:p>
    <w:p w:rsidR="00084665" w:rsidRPr="00BA4F53" w:rsidRDefault="00084665" w:rsidP="00084665">
      <w:pPr>
        <w:pStyle w:val="Table"/>
      </w:pPr>
      <w:bookmarkStart w:id="53" w:name="_Toc406511636"/>
      <w:r w:rsidRPr="00BA4F53">
        <w:lastRenderedPageBreak/>
        <w:t>Table 5.1.2-1:  Procurement Options Summary</w:t>
      </w:r>
      <w:bookmarkEnd w:id="53"/>
    </w:p>
    <w:tbl>
      <w:tblPr>
        <w:tblStyle w:val="TableGrid"/>
        <w:tblW w:w="0" w:type="auto"/>
        <w:tblInd w:w="108" w:type="dxa"/>
        <w:tblLook w:val="04A0" w:firstRow="1" w:lastRow="0" w:firstColumn="1" w:lastColumn="0" w:noHBand="0" w:noVBand="1"/>
      </w:tblPr>
      <w:tblGrid>
        <w:gridCol w:w="4339"/>
        <w:gridCol w:w="4426"/>
        <w:gridCol w:w="4365"/>
      </w:tblGrid>
      <w:tr w:rsidR="00084665" w:rsidRPr="00BA4F53" w:rsidTr="00EF03C8">
        <w:trPr>
          <w:tblHeader/>
        </w:trPr>
        <w:tc>
          <w:tcPr>
            <w:tcW w:w="4356" w:type="dxa"/>
            <w:vAlign w:val="center"/>
          </w:tcPr>
          <w:p w:rsidR="00084665" w:rsidRPr="00BA4F53" w:rsidRDefault="00084665" w:rsidP="00084665">
            <w:pPr>
              <w:spacing w:before="40" w:after="40"/>
              <w:jc w:val="center"/>
              <w:rPr>
                <w:rFonts w:asciiTheme="minorHAnsi" w:hAnsiTheme="minorHAnsi" w:cstheme="minorHAnsi"/>
                <w:b/>
                <w:sz w:val="18"/>
                <w:szCs w:val="18"/>
              </w:rPr>
            </w:pPr>
            <w:r w:rsidRPr="00BA4F53">
              <w:rPr>
                <w:rFonts w:asciiTheme="minorHAnsi" w:hAnsiTheme="minorHAnsi" w:cstheme="minorHAnsi"/>
                <w:b/>
                <w:sz w:val="18"/>
                <w:szCs w:val="18"/>
              </w:rPr>
              <w:t>Option</w:t>
            </w:r>
          </w:p>
        </w:tc>
        <w:tc>
          <w:tcPr>
            <w:tcW w:w="4464" w:type="dxa"/>
            <w:vAlign w:val="center"/>
          </w:tcPr>
          <w:p w:rsidR="00084665" w:rsidRPr="00BA4F53" w:rsidRDefault="00084665" w:rsidP="00084665">
            <w:pPr>
              <w:spacing w:before="40" w:after="40"/>
              <w:jc w:val="center"/>
              <w:rPr>
                <w:rFonts w:asciiTheme="minorHAnsi" w:hAnsiTheme="minorHAnsi" w:cstheme="minorHAnsi"/>
                <w:b/>
                <w:sz w:val="18"/>
                <w:szCs w:val="18"/>
              </w:rPr>
            </w:pPr>
            <w:r w:rsidRPr="00BA4F53">
              <w:rPr>
                <w:rFonts w:asciiTheme="minorHAnsi" w:hAnsiTheme="minorHAnsi" w:cstheme="minorHAnsi"/>
                <w:b/>
                <w:sz w:val="18"/>
                <w:szCs w:val="18"/>
              </w:rPr>
              <w:t>Pros/Cons</w:t>
            </w:r>
          </w:p>
        </w:tc>
        <w:tc>
          <w:tcPr>
            <w:tcW w:w="4410" w:type="dxa"/>
            <w:vAlign w:val="center"/>
          </w:tcPr>
          <w:p w:rsidR="00084665" w:rsidRPr="00BA4F53" w:rsidRDefault="00084665" w:rsidP="00084665">
            <w:pPr>
              <w:spacing w:before="40" w:after="40"/>
              <w:jc w:val="center"/>
              <w:rPr>
                <w:rFonts w:asciiTheme="minorHAnsi" w:hAnsiTheme="minorHAnsi" w:cstheme="minorHAnsi"/>
                <w:b/>
                <w:sz w:val="18"/>
                <w:szCs w:val="18"/>
              </w:rPr>
            </w:pPr>
            <w:r w:rsidRPr="00BA4F53">
              <w:rPr>
                <w:rFonts w:asciiTheme="minorHAnsi" w:hAnsiTheme="minorHAnsi" w:cstheme="minorHAnsi"/>
                <w:b/>
                <w:sz w:val="18"/>
                <w:szCs w:val="18"/>
              </w:rPr>
              <w:t>Comments</w:t>
            </w:r>
          </w:p>
        </w:tc>
      </w:tr>
      <w:tr w:rsidR="00084665" w:rsidRPr="00BA4F53" w:rsidTr="00EF03C8">
        <w:tc>
          <w:tcPr>
            <w:tcW w:w="4356" w:type="dxa"/>
          </w:tcPr>
          <w:p w:rsidR="00084665" w:rsidRPr="00BA4F53" w:rsidRDefault="00084665" w:rsidP="00084665">
            <w:pPr>
              <w:tabs>
                <w:tab w:val="left" w:pos="342"/>
              </w:tabs>
              <w:spacing w:before="30" w:after="30"/>
              <w:ind w:left="360" w:hanging="360"/>
              <w:jc w:val="left"/>
              <w:rPr>
                <w:rFonts w:asciiTheme="minorHAnsi" w:hAnsiTheme="minorHAnsi" w:cstheme="minorHAnsi"/>
                <w:sz w:val="18"/>
                <w:szCs w:val="18"/>
              </w:rPr>
            </w:pPr>
            <w:r w:rsidRPr="00BA4F53">
              <w:rPr>
                <w:rFonts w:asciiTheme="minorHAnsi" w:hAnsiTheme="minorHAnsi" w:cstheme="minorHAnsi"/>
                <w:sz w:val="18"/>
                <w:szCs w:val="18"/>
              </w:rPr>
              <w:t xml:space="preserve">1. </w:t>
            </w:r>
            <w:r w:rsidRPr="00BA4F53">
              <w:rPr>
                <w:rFonts w:asciiTheme="minorHAnsi" w:hAnsiTheme="minorHAnsi" w:cstheme="minorHAnsi"/>
                <w:sz w:val="18"/>
                <w:szCs w:val="18"/>
              </w:rPr>
              <w:tab/>
              <w:t>Standalone field trial tendered during latter stages of design</w:t>
            </w:r>
          </w:p>
        </w:tc>
        <w:tc>
          <w:tcPr>
            <w:tcW w:w="4464"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u w:val="single"/>
              </w:rPr>
              <w:t>Pros</w:t>
            </w:r>
          </w:p>
          <w:p w:rsidR="00084665" w:rsidRPr="00BA4F53" w:rsidRDefault="00084665" w:rsidP="00CE06DB">
            <w:pPr>
              <w:pStyle w:val="ListParagraph"/>
              <w:widowControl/>
              <w:numPr>
                <w:ilvl w:val="0"/>
                <w:numId w:val="28"/>
              </w:numPr>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Allows execution methods/pricing findings to be reflected in regulatory submissions and early project funding processes.</w:t>
            </w:r>
          </w:p>
          <w:p w:rsidR="00084665" w:rsidRPr="00BA4F53" w:rsidRDefault="00084665" w:rsidP="00084665">
            <w:pPr>
              <w:spacing w:before="30" w:after="30"/>
              <w:jc w:val="left"/>
              <w:rPr>
                <w:rFonts w:asciiTheme="minorHAnsi" w:hAnsiTheme="minorHAnsi" w:cstheme="minorHAnsi"/>
                <w:sz w:val="18"/>
                <w:szCs w:val="18"/>
                <w:u w:val="single"/>
              </w:rPr>
            </w:pPr>
            <w:r w:rsidRPr="00BA4F53">
              <w:rPr>
                <w:rFonts w:asciiTheme="minorHAnsi" w:hAnsiTheme="minorHAnsi" w:cstheme="minorHAnsi"/>
                <w:sz w:val="18"/>
                <w:szCs w:val="18"/>
                <w:u w:val="single"/>
              </w:rPr>
              <w:t>Cons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Not conducted at full scale; significantly limits utility of findings.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No direct linkage to large scale scope; discourages contractors from being fully open with their expertise (i.e.</w:t>
            </w:r>
            <w:r w:rsidR="00EF03C8" w:rsidRPr="00BA4F53">
              <w:rPr>
                <w:rFonts w:asciiTheme="minorHAnsi" w:hAnsiTheme="minorHAnsi" w:cstheme="minorHAnsi"/>
                <w:sz w:val="18"/>
                <w:szCs w:val="18"/>
                <w:lang w:val="en-CA"/>
              </w:rPr>
              <w:t xml:space="preserve"> </w:t>
            </w:r>
            <w:r w:rsidRPr="00BA4F53">
              <w:rPr>
                <w:rFonts w:asciiTheme="minorHAnsi" w:hAnsiTheme="minorHAnsi" w:cstheme="minorHAnsi"/>
                <w:sz w:val="18"/>
                <w:szCs w:val="18"/>
                <w:lang w:val="en-CA"/>
              </w:rPr>
              <w:t>they will be concerned about disclosing competitive advantages in the absence of a clear connection to a potential commercial upside).</w:t>
            </w:r>
          </w:p>
        </w:tc>
        <w:tc>
          <w:tcPr>
            <w:tcW w:w="4410"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rPr>
              <w:t>Cons outweigh pros unless Partners place compelling weight on early information or if alternate procurement strategies are simply not possible.</w:t>
            </w:r>
          </w:p>
        </w:tc>
      </w:tr>
      <w:tr w:rsidR="00084665" w:rsidRPr="00BA4F53" w:rsidTr="00EF03C8">
        <w:tc>
          <w:tcPr>
            <w:tcW w:w="4356" w:type="dxa"/>
          </w:tcPr>
          <w:p w:rsidR="00084665" w:rsidRPr="00BA4F53" w:rsidRDefault="00084665" w:rsidP="00084665">
            <w:pPr>
              <w:tabs>
                <w:tab w:val="left" w:pos="342"/>
              </w:tabs>
              <w:spacing w:before="30" w:after="30"/>
              <w:ind w:left="360" w:hanging="360"/>
              <w:jc w:val="left"/>
              <w:rPr>
                <w:rFonts w:asciiTheme="minorHAnsi" w:hAnsiTheme="minorHAnsi" w:cstheme="minorHAnsi"/>
                <w:sz w:val="18"/>
                <w:szCs w:val="18"/>
              </w:rPr>
            </w:pPr>
            <w:r w:rsidRPr="00BA4F53">
              <w:rPr>
                <w:rFonts w:asciiTheme="minorHAnsi" w:hAnsiTheme="minorHAnsi" w:cstheme="minorHAnsi"/>
                <w:sz w:val="18"/>
                <w:szCs w:val="18"/>
              </w:rPr>
              <w:t>2.</w:t>
            </w:r>
            <w:r w:rsidRPr="00BA4F53">
              <w:rPr>
                <w:rFonts w:asciiTheme="minorHAnsi" w:hAnsiTheme="minorHAnsi" w:cstheme="minorHAnsi"/>
                <w:sz w:val="18"/>
                <w:szCs w:val="18"/>
              </w:rPr>
              <w:tab/>
              <w:t>Stages full scale execution with procurement “off ramps”.</w:t>
            </w:r>
          </w:p>
          <w:p w:rsidR="00084665" w:rsidRPr="00BA4F53" w:rsidRDefault="00084665" w:rsidP="00CE06DB">
            <w:pPr>
              <w:pStyle w:val="ListParagraph"/>
              <w:widowControl/>
              <w:numPr>
                <w:ilvl w:val="0"/>
                <w:numId w:val="28"/>
              </w:numPr>
              <w:tabs>
                <w:tab w:val="left" w:pos="720"/>
              </w:tabs>
              <w:spacing w:before="30" w:after="3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Initial tender is a data/performance spec only; process open to all qualified contractors (i.e.</w:t>
            </w:r>
            <w:r w:rsidR="002321C3" w:rsidRPr="00BA4F53">
              <w:rPr>
                <w:rFonts w:asciiTheme="minorHAnsi" w:hAnsiTheme="minorHAnsi" w:cstheme="minorHAnsi"/>
                <w:sz w:val="18"/>
                <w:szCs w:val="18"/>
                <w:lang w:val="en-CA"/>
              </w:rPr>
              <w:t> </w:t>
            </w:r>
            <w:r w:rsidRPr="00BA4F53">
              <w:rPr>
                <w:rFonts w:asciiTheme="minorHAnsi" w:hAnsiTheme="minorHAnsi" w:cstheme="minorHAnsi"/>
                <w:sz w:val="18"/>
                <w:szCs w:val="18"/>
                <w:lang w:val="en-CA"/>
              </w:rPr>
              <w:t>follows a pre-qualification process).</w:t>
            </w:r>
          </w:p>
          <w:p w:rsidR="00084665" w:rsidRPr="00BA4F53" w:rsidRDefault="00084665" w:rsidP="00CE06DB">
            <w:pPr>
              <w:pStyle w:val="ListParagraph"/>
              <w:widowControl/>
              <w:numPr>
                <w:ilvl w:val="0"/>
                <w:numId w:val="28"/>
              </w:numPr>
              <w:tabs>
                <w:tab w:val="left" w:pos="720"/>
              </w:tabs>
              <w:spacing w:before="30" w:after="3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Owner defines a first stage scope that is anticipated to be sufficient to allow contractor to establish fair pricing (</w:t>
            </w:r>
            <w:r w:rsidR="00784F1E">
              <w:rPr>
                <w:rFonts w:asciiTheme="minorHAnsi" w:hAnsiTheme="minorHAnsi" w:cstheme="minorHAnsi"/>
                <w:sz w:val="18"/>
                <w:szCs w:val="18"/>
                <w:lang w:val="en-CA"/>
              </w:rPr>
              <w:t>cannot</w:t>
            </w:r>
            <w:r w:rsidRPr="00BA4F53">
              <w:rPr>
                <w:rFonts w:asciiTheme="minorHAnsi" w:hAnsiTheme="minorHAnsi" w:cstheme="minorHAnsi"/>
                <w:sz w:val="18"/>
                <w:szCs w:val="18"/>
                <w:lang w:val="en-CA"/>
              </w:rPr>
              <w:t xml:space="preserve"> let contractor define because if initial tender price too high, will extend first stage).</w:t>
            </w:r>
          </w:p>
          <w:p w:rsidR="00084665" w:rsidRPr="00BA4F53" w:rsidRDefault="00084665" w:rsidP="00CE06DB">
            <w:pPr>
              <w:pStyle w:val="ListParagraph"/>
              <w:widowControl/>
              <w:numPr>
                <w:ilvl w:val="0"/>
                <w:numId w:val="28"/>
              </w:numPr>
              <w:tabs>
                <w:tab w:val="left" w:pos="720"/>
              </w:tabs>
              <w:spacing w:before="30" w:after="3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At conclusion of Stage 1:</w:t>
            </w:r>
          </w:p>
          <w:p w:rsidR="00084665" w:rsidRPr="00BA4F53" w:rsidRDefault="00084665" w:rsidP="00CE06DB">
            <w:pPr>
              <w:pStyle w:val="ListParagraph"/>
              <w:widowControl/>
              <w:numPr>
                <w:ilvl w:val="0"/>
                <w:numId w:val="29"/>
              </w:numPr>
              <w:spacing w:before="30" w:after="30"/>
              <w:ind w:left="108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Owner has access to all data (other than proprietary pricing) acquired during stage and that could be used by any contractor to develop fair pricing.</w:t>
            </w:r>
          </w:p>
          <w:p w:rsidR="00084665" w:rsidRPr="00BA4F53" w:rsidRDefault="00084665" w:rsidP="00CE06DB">
            <w:pPr>
              <w:pStyle w:val="ListParagraph"/>
              <w:widowControl/>
              <w:numPr>
                <w:ilvl w:val="0"/>
                <w:numId w:val="29"/>
              </w:numPr>
              <w:spacing w:before="30" w:after="30"/>
              <w:ind w:left="108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Contractor submits pricing for balance of scope based on learnings/outcomes of Stage 1.</w:t>
            </w:r>
          </w:p>
          <w:p w:rsidR="00084665" w:rsidRPr="00BA4F53" w:rsidRDefault="00084665" w:rsidP="00CE06DB">
            <w:pPr>
              <w:pStyle w:val="ListParagraph"/>
              <w:widowControl/>
              <w:numPr>
                <w:ilvl w:val="0"/>
                <w:numId w:val="29"/>
              </w:numPr>
              <w:spacing w:before="30" w:after="30"/>
              <w:ind w:left="108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Owner then has option of:</w:t>
            </w:r>
          </w:p>
          <w:p w:rsidR="00084665" w:rsidRPr="00BA4F53" w:rsidRDefault="00084665" w:rsidP="00CE06DB">
            <w:pPr>
              <w:pStyle w:val="ListParagraph"/>
              <w:widowControl/>
              <w:numPr>
                <w:ilvl w:val="0"/>
                <w:numId w:val="30"/>
              </w:numPr>
              <w:spacing w:before="30" w:after="30"/>
              <w:ind w:left="144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accepting contractor’s Stage 2 pricing; or</w:t>
            </w:r>
          </w:p>
          <w:p w:rsidR="00084665" w:rsidRPr="00BA4F53" w:rsidRDefault="00084665" w:rsidP="00CE06DB">
            <w:pPr>
              <w:pStyle w:val="ListParagraph"/>
              <w:widowControl/>
              <w:numPr>
                <w:ilvl w:val="0"/>
                <w:numId w:val="30"/>
              </w:numPr>
              <w:spacing w:before="30" w:after="30"/>
              <w:ind w:left="1440"/>
              <w:contextualSpacing w:val="0"/>
              <w:jc w:val="left"/>
              <w:rPr>
                <w:rFonts w:asciiTheme="minorHAnsi" w:hAnsiTheme="minorHAnsi" w:cstheme="minorHAnsi"/>
                <w:sz w:val="18"/>
                <w:szCs w:val="18"/>
                <w:lang w:val="en-CA"/>
              </w:rPr>
            </w:pPr>
            <w:proofErr w:type="gramStart"/>
            <w:r w:rsidRPr="00BA4F53">
              <w:rPr>
                <w:rFonts w:asciiTheme="minorHAnsi" w:hAnsiTheme="minorHAnsi" w:cstheme="minorHAnsi"/>
                <w:sz w:val="18"/>
                <w:szCs w:val="18"/>
                <w:lang w:val="en-CA"/>
              </w:rPr>
              <w:t>re-tendering</w:t>
            </w:r>
            <w:proofErr w:type="gramEnd"/>
            <w:r w:rsidRPr="00BA4F53">
              <w:rPr>
                <w:rFonts w:asciiTheme="minorHAnsi" w:hAnsiTheme="minorHAnsi" w:cstheme="minorHAnsi"/>
                <w:sz w:val="18"/>
                <w:szCs w:val="18"/>
                <w:lang w:val="en-CA"/>
              </w:rPr>
              <w:t xml:space="preserve"> Stage 2 with the expanded database provided by Stage 1 learnings/outcomes.</w:t>
            </w:r>
          </w:p>
        </w:tc>
        <w:tc>
          <w:tcPr>
            <w:tcW w:w="4464"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u w:val="single"/>
              </w:rPr>
              <w:t>Pros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Reduces contractor’s commercial risks and thereby increases chances for securing fair pricing.</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Reduces Owner’s cost risk in the event that Stage 1 pricing is burdened by contingencies.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Reduces potential for contractor non-performance in the face of unanticipated conditions.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Can provide fair pricing based on full scale execution experience and data.</w:t>
            </w:r>
          </w:p>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u w:val="single"/>
              </w:rPr>
              <w:t>Cons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Gives incumbent contractor what may be perceived as unfair advantage for the Stage 2 scope.</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Replacing incumbent contractor would incur two mobilization charges (i.e. incumbent contractor’s Stage 2 pricing would consider/reflect this advantage).</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Extends execution schedule by adding, at a minimum, an assessment/re-pricing effort between the stages and, at a maximum, the need to incorporate a second tender process.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 xml:space="preserve">May not be compatible with </w:t>
            </w:r>
            <w:proofErr w:type="spellStart"/>
            <w:r w:rsidRPr="00BA4F53">
              <w:rPr>
                <w:rFonts w:asciiTheme="minorHAnsi" w:hAnsiTheme="minorHAnsi" w:cstheme="minorHAnsi"/>
                <w:sz w:val="18"/>
                <w:szCs w:val="18"/>
                <w:lang w:val="en-CA"/>
              </w:rPr>
              <w:t>AAM</w:t>
            </w:r>
            <w:proofErr w:type="spellEnd"/>
            <w:r w:rsidRPr="00BA4F53">
              <w:rPr>
                <w:rFonts w:asciiTheme="minorHAnsi" w:hAnsiTheme="minorHAnsi" w:cstheme="minorHAnsi"/>
                <w:sz w:val="18"/>
                <w:szCs w:val="18"/>
                <w:lang w:val="en-CA"/>
              </w:rPr>
              <w:t>/</w:t>
            </w:r>
            <w:proofErr w:type="spellStart"/>
            <w:r w:rsidRPr="00BA4F53">
              <w:rPr>
                <w:rFonts w:asciiTheme="minorHAnsi" w:hAnsiTheme="minorHAnsi" w:cstheme="minorHAnsi"/>
                <w:sz w:val="18"/>
                <w:szCs w:val="18"/>
                <w:lang w:val="en-CA"/>
              </w:rPr>
              <w:t>AANDC</w:t>
            </w:r>
            <w:proofErr w:type="spellEnd"/>
            <w:r w:rsidRPr="00BA4F53">
              <w:rPr>
                <w:rFonts w:asciiTheme="minorHAnsi" w:hAnsiTheme="minorHAnsi" w:cstheme="minorHAnsi"/>
                <w:sz w:val="18"/>
                <w:szCs w:val="18"/>
                <w:lang w:val="en-CA"/>
              </w:rPr>
              <w:t xml:space="preserve"> procurement processes and constraints.</w:t>
            </w:r>
          </w:p>
        </w:tc>
        <w:tc>
          <w:tcPr>
            <w:tcW w:w="4410"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rPr>
              <w:t>On balance, offers the best potential for engaging the contracting community and securing fair pricing for the largest component of project scope.</w:t>
            </w:r>
          </w:p>
        </w:tc>
      </w:tr>
      <w:tr w:rsidR="00084665" w:rsidRPr="00BA4F53" w:rsidTr="00EF03C8">
        <w:tc>
          <w:tcPr>
            <w:tcW w:w="4356" w:type="dxa"/>
          </w:tcPr>
          <w:p w:rsidR="00084665" w:rsidRPr="00BA4F53" w:rsidRDefault="00084665" w:rsidP="00EF03C8">
            <w:pPr>
              <w:tabs>
                <w:tab w:val="left" w:pos="342"/>
              </w:tabs>
              <w:spacing w:before="30" w:after="30"/>
              <w:ind w:left="360" w:hanging="360"/>
              <w:jc w:val="left"/>
              <w:rPr>
                <w:rFonts w:asciiTheme="minorHAnsi" w:hAnsiTheme="minorHAnsi" w:cstheme="minorHAnsi"/>
                <w:sz w:val="18"/>
                <w:szCs w:val="18"/>
              </w:rPr>
            </w:pPr>
            <w:r w:rsidRPr="00BA4F53">
              <w:rPr>
                <w:rFonts w:asciiTheme="minorHAnsi" w:hAnsiTheme="minorHAnsi" w:cstheme="minorHAnsi"/>
                <w:sz w:val="18"/>
                <w:szCs w:val="18"/>
              </w:rPr>
              <w:lastRenderedPageBreak/>
              <w:t>3.</w:t>
            </w:r>
            <w:r w:rsidRPr="00BA4F53">
              <w:rPr>
                <w:rFonts w:asciiTheme="minorHAnsi" w:hAnsiTheme="minorHAnsi" w:cstheme="minorHAnsi"/>
                <w:sz w:val="18"/>
                <w:szCs w:val="18"/>
              </w:rPr>
              <w:tab/>
              <w:t>Per Option 2 except that Stage 1 is scaled/executed as a trial (not a full scale mobilization).</w:t>
            </w:r>
          </w:p>
        </w:tc>
        <w:tc>
          <w:tcPr>
            <w:tcW w:w="4464"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u w:val="single"/>
              </w:rPr>
              <w:t>Pros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Avoids potential for incurring two full mobilization charges.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Potentially reduces the overall execution schedule impact.</w:t>
            </w:r>
          </w:p>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u w:val="single"/>
              </w:rPr>
              <w:t>Cons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Does not provide Stage 2 pricing based on full scale execution data (i.e. pricing would, therefore, still reflect the associated incremental uncertainties).</w:t>
            </w:r>
          </w:p>
        </w:tc>
        <w:tc>
          <w:tcPr>
            <w:tcW w:w="4410"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rPr>
              <w:t xml:space="preserve">Better than Option 1, but not as effective as Option 2. Might be considered if judged to be more compatible with </w:t>
            </w:r>
            <w:proofErr w:type="spellStart"/>
            <w:r w:rsidRPr="00BA4F53">
              <w:rPr>
                <w:rFonts w:asciiTheme="minorHAnsi" w:hAnsiTheme="minorHAnsi" w:cstheme="minorHAnsi"/>
                <w:sz w:val="18"/>
                <w:szCs w:val="18"/>
              </w:rPr>
              <w:t>AAM</w:t>
            </w:r>
            <w:proofErr w:type="spellEnd"/>
            <w:r w:rsidRPr="00BA4F53">
              <w:rPr>
                <w:rFonts w:asciiTheme="minorHAnsi" w:hAnsiTheme="minorHAnsi" w:cstheme="minorHAnsi"/>
                <w:sz w:val="18"/>
                <w:szCs w:val="18"/>
              </w:rPr>
              <w:t>/</w:t>
            </w:r>
            <w:proofErr w:type="spellStart"/>
            <w:r w:rsidRPr="00BA4F53">
              <w:rPr>
                <w:rFonts w:asciiTheme="minorHAnsi" w:hAnsiTheme="minorHAnsi" w:cstheme="minorHAnsi"/>
                <w:sz w:val="18"/>
                <w:szCs w:val="18"/>
              </w:rPr>
              <w:t>AANDC</w:t>
            </w:r>
            <w:proofErr w:type="spellEnd"/>
            <w:r w:rsidRPr="00BA4F53">
              <w:rPr>
                <w:rFonts w:asciiTheme="minorHAnsi" w:hAnsiTheme="minorHAnsi" w:cstheme="minorHAnsi"/>
                <w:sz w:val="18"/>
                <w:szCs w:val="18"/>
              </w:rPr>
              <w:t xml:space="preserve"> procurement policies and constraints.</w:t>
            </w:r>
          </w:p>
        </w:tc>
      </w:tr>
      <w:tr w:rsidR="00084665" w:rsidRPr="00BA4F53" w:rsidTr="00EF03C8">
        <w:tc>
          <w:tcPr>
            <w:tcW w:w="4356" w:type="dxa"/>
          </w:tcPr>
          <w:p w:rsidR="00084665" w:rsidRPr="00BA4F53" w:rsidRDefault="00084665" w:rsidP="00084665">
            <w:pPr>
              <w:tabs>
                <w:tab w:val="left" w:pos="342"/>
              </w:tabs>
              <w:spacing w:before="30" w:after="30"/>
              <w:ind w:left="360" w:hanging="360"/>
              <w:jc w:val="left"/>
              <w:rPr>
                <w:rFonts w:asciiTheme="minorHAnsi" w:hAnsiTheme="minorHAnsi" w:cstheme="minorHAnsi"/>
                <w:sz w:val="18"/>
                <w:szCs w:val="18"/>
              </w:rPr>
            </w:pPr>
            <w:r w:rsidRPr="00BA4F53">
              <w:rPr>
                <w:rFonts w:asciiTheme="minorHAnsi" w:hAnsiTheme="minorHAnsi" w:cstheme="minorHAnsi"/>
                <w:sz w:val="18"/>
                <w:szCs w:val="18"/>
              </w:rPr>
              <w:t>4.</w:t>
            </w:r>
            <w:r w:rsidRPr="00BA4F53">
              <w:rPr>
                <w:rFonts w:asciiTheme="minorHAnsi" w:hAnsiTheme="minorHAnsi" w:cstheme="minorHAnsi"/>
                <w:sz w:val="18"/>
                <w:szCs w:val="18"/>
              </w:rPr>
              <w:tab/>
              <w:t>Per Option 3 except that at conclusion of Stage 1, the contractor provides target pricing (with rewards and penalties) for completion of Stage 2. The Owner and contractor would negotiate the basis for measuring performance against the target and the basis for quantifying rewards and penalties. If this negotiation was not successful, the Owner would retain the option of re-tendering Stage 2.</w:t>
            </w:r>
          </w:p>
        </w:tc>
        <w:tc>
          <w:tcPr>
            <w:tcW w:w="4464"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u w:val="single"/>
              </w:rPr>
              <w:t>Pros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Reduced potential for incurring two full mobilization charges.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Potentially reduces overall execution schedule impact.</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Provides both Owner and contractor with mechanism for mitigating cost risk of uncertainties and thereby increases the potential for achieving fair pricing.</w:t>
            </w:r>
          </w:p>
          <w:p w:rsidR="00084665" w:rsidRPr="00BA4F53" w:rsidRDefault="00084665" w:rsidP="00084665">
            <w:pPr>
              <w:spacing w:before="30" w:after="30"/>
              <w:jc w:val="left"/>
              <w:rPr>
                <w:rFonts w:asciiTheme="minorHAnsi" w:hAnsiTheme="minorHAnsi" w:cstheme="minorHAnsi"/>
                <w:sz w:val="18"/>
                <w:szCs w:val="18"/>
                <w:u w:val="single"/>
              </w:rPr>
            </w:pPr>
            <w:r w:rsidRPr="00BA4F53">
              <w:rPr>
                <w:rFonts w:asciiTheme="minorHAnsi" w:hAnsiTheme="minorHAnsi" w:cstheme="minorHAnsi"/>
                <w:sz w:val="18"/>
                <w:szCs w:val="18"/>
                <w:u w:val="single"/>
              </w:rPr>
              <w:t>Cons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Does not provide Stage 2 pricing based on full scale execution data.</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Difficulties of defining the basis of measuring performance against the target and of negotiating appropriate rewards and penalties.</w:t>
            </w:r>
          </w:p>
          <w:p w:rsidR="00084665" w:rsidRPr="00BA4F53" w:rsidRDefault="00084665" w:rsidP="00CE06DB">
            <w:pPr>
              <w:pStyle w:val="ListParagraph"/>
              <w:widowControl/>
              <w:numPr>
                <w:ilvl w:val="0"/>
                <w:numId w:val="28"/>
              </w:numPr>
              <w:tabs>
                <w:tab w:val="left" w:pos="720"/>
              </w:tabs>
              <w:spacing w:before="30" w:after="30"/>
              <w:ind w:left="360"/>
              <w:contextualSpacing w:val="0"/>
              <w:jc w:val="left"/>
              <w:rPr>
                <w:rFonts w:asciiTheme="minorHAnsi" w:hAnsiTheme="minorHAnsi" w:cstheme="minorHAnsi"/>
                <w:sz w:val="18"/>
                <w:szCs w:val="18"/>
                <w:lang w:val="en-CA"/>
              </w:rPr>
            </w:pPr>
            <w:r w:rsidRPr="00BA4F53">
              <w:rPr>
                <w:rFonts w:asciiTheme="minorHAnsi" w:hAnsiTheme="minorHAnsi" w:cstheme="minorHAnsi"/>
                <w:sz w:val="18"/>
                <w:szCs w:val="18"/>
                <w:lang w:val="en-CA"/>
              </w:rPr>
              <w:t>May be relatively difficult to align with procurement policies and constraints.</w:t>
            </w:r>
          </w:p>
        </w:tc>
        <w:tc>
          <w:tcPr>
            <w:tcW w:w="4410" w:type="dxa"/>
          </w:tcPr>
          <w:p w:rsidR="00084665" w:rsidRPr="00BA4F53" w:rsidRDefault="00084665" w:rsidP="00084665">
            <w:pPr>
              <w:spacing w:before="30" w:after="30"/>
              <w:jc w:val="left"/>
              <w:rPr>
                <w:rFonts w:asciiTheme="minorHAnsi" w:hAnsiTheme="minorHAnsi" w:cstheme="minorHAnsi"/>
                <w:sz w:val="18"/>
                <w:szCs w:val="18"/>
              </w:rPr>
            </w:pPr>
            <w:r w:rsidRPr="00BA4F53">
              <w:rPr>
                <w:rFonts w:asciiTheme="minorHAnsi" w:hAnsiTheme="minorHAnsi" w:cstheme="minorHAnsi"/>
                <w:sz w:val="18"/>
                <w:szCs w:val="18"/>
              </w:rPr>
              <w:t>A variant of Option 3 that provides a mechanism for mitigating the uncertainties associated with a trial scale Stage 1.</w:t>
            </w:r>
          </w:p>
        </w:tc>
      </w:tr>
    </w:tbl>
    <w:p w:rsidR="00084665" w:rsidRPr="00BA4F53" w:rsidRDefault="00084665" w:rsidP="00084665">
      <w:pPr>
        <w:pStyle w:val="BodyText"/>
        <w:ind w:left="0"/>
      </w:pPr>
    </w:p>
    <w:p w:rsidR="00084665" w:rsidRPr="00BA4F53" w:rsidRDefault="00084665" w:rsidP="005611C8">
      <w:pPr>
        <w:pStyle w:val="BodyText"/>
        <w:sectPr w:rsidR="00084665" w:rsidRPr="00BA4F53" w:rsidSect="00084665">
          <w:footerReference w:type="default" r:id="rId24"/>
          <w:pgSz w:w="15840" w:h="12240" w:orient="landscape" w:code="1"/>
          <w:pgMar w:top="720" w:right="1296" w:bottom="720" w:left="1296" w:header="720" w:footer="720" w:gutter="0"/>
          <w:cols w:space="720"/>
        </w:sectPr>
      </w:pPr>
    </w:p>
    <w:p w:rsidR="007A40EE" w:rsidRDefault="005D3122" w:rsidP="005D3122">
      <w:pPr>
        <w:pStyle w:val="BodyText"/>
      </w:pPr>
      <w:r>
        <w:lastRenderedPageBreak/>
        <w:t>AMEC recognizes that while contractor engagement during the procurement process may provide opportunities for cost reduction, it offers limited benefit for the purposes of the current cost review. The immediate requirement is to achieve sufficient clarity and alignment on potential costs to facilitate Partner approval for advancing the design. Any cost benefits provided by contractor engagement are likely to come later in the project development and execution process.</w:t>
      </w:r>
    </w:p>
    <w:p w:rsidR="005611C8" w:rsidRPr="00BA4F53" w:rsidRDefault="005611C8" w:rsidP="005611C8">
      <w:pPr>
        <w:pStyle w:val="Heading2"/>
      </w:pPr>
      <w:bookmarkStart w:id="54" w:name="_Toc404336664"/>
      <w:r w:rsidRPr="00BA4F53">
        <w:t>Scope Revisions</w:t>
      </w:r>
      <w:bookmarkEnd w:id="54"/>
    </w:p>
    <w:p w:rsidR="0006127F" w:rsidRPr="00BA4F53" w:rsidRDefault="005611C8" w:rsidP="000B2CC7">
      <w:pPr>
        <w:pStyle w:val="Heading3"/>
      </w:pPr>
      <w:bookmarkStart w:id="55" w:name="_Toc404336665"/>
      <w:r w:rsidRPr="00BA4F53">
        <w:t xml:space="preserve">Within </w:t>
      </w:r>
      <w:r w:rsidR="006D1696" w:rsidRPr="00BA4F53">
        <w:t xml:space="preserve">the </w:t>
      </w:r>
      <w:r w:rsidRPr="00BA4F53">
        <w:t>Option 4 Concept</w:t>
      </w:r>
      <w:bookmarkEnd w:id="55"/>
    </w:p>
    <w:p w:rsidR="005611C8" w:rsidRPr="00BA4F53" w:rsidRDefault="00495156" w:rsidP="005611C8">
      <w:pPr>
        <w:pStyle w:val="BodyText"/>
      </w:pPr>
      <w:bookmarkStart w:id="56" w:name="_Ref398301131"/>
      <w:r w:rsidRPr="00BA4F53">
        <w:t>The scope of this review was to identify and consider cost reduction opportunities within the constraints and objectives of Option 4 (i.e. without re-examining the basic option assessment or selection process). The assumptions review and sensitivity analysis were based</w:t>
      </w:r>
      <w:r w:rsidR="00B271E6" w:rsidRPr="00BA4F53">
        <w:t xml:space="preserve"> on alternate assumptions that were intended to satisfy the key </w:t>
      </w:r>
      <w:r w:rsidR="00F8626D">
        <w:t>tenet</w:t>
      </w:r>
      <w:r w:rsidR="0009367A">
        <w:t>s</w:t>
      </w:r>
      <w:r w:rsidR="00B271E6" w:rsidRPr="00BA4F53">
        <w:t xml:space="preserve"> of Option 4, specifically:</w:t>
      </w:r>
    </w:p>
    <w:p w:rsidR="005611C8" w:rsidRPr="00BA4F53" w:rsidRDefault="00B271E6" w:rsidP="00B271E6">
      <w:pPr>
        <w:pStyle w:val="bullet0"/>
      </w:pPr>
      <w:r w:rsidRPr="00BA4F53">
        <w:t>Tailings relocation and dam decommissioning</w:t>
      </w:r>
      <w:r w:rsidR="00423637">
        <w:t xml:space="preserve"> followed by restoration of the Dome Creek valley</w:t>
      </w:r>
      <w:r w:rsidRPr="00BA4F53">
        <w:t>;</w:t>
      </w:r>
    </w:p>
    <w:p w:rsidR="00B271E6" w:rsidRPr="00BA4F53" w:rsidRDefault="00B271E6" w:rsidP="00B271E6">
      <w:pPr>
        <w:pStyle w:val="bullet0"/>
      </w:pPr>
      <w:r w:rsidRPr="00BA4F53">
        <w:t>Placement of “low moisture” tailings;</w:t>
      </w:r>
    </w:p>
    <w:p w:rsidR="00B271E6" w:rsidRPr="00BA4F53" w:rsidRDefault="00B271E6" w:rsidP="00B271E6">
      <w:pPr>
        <w:pStyle w:val="bullet0"/>
      </w:pPr>
      <w:r w:rsidRPr="00BA4F53">
        <w:t>Maintenance of tailings above the water table;</w:t>
      </w:r>
    </w:p>
    <w:p w:rsidR="00B271E6" w:rsidRPr="00BA4F53" w:rsidRDefault="00B271E6" w:rsidP="00B271E6">
      <w:pPr>
        <w:pStyle w:val="bullet0"/>
      </w:pPr>
      <w:r w:rsidRPr="00BA4F53">
        <w:t xml:space="preserve">Provision of stable and useable backfilled pit surfaces over reasonable timeframes (i.e. without creating practically indefinite </w:t>
      </w:r>
      <w:r w:rsidR="0009367A">
        <w:t>restrictions</w:t>
      </w:r>
      <w:r w:rsidRPr="00BA4F53">
        <w:t xml:space="preserve"> on land use); and</w:t>
      </w:r>
    </w:p>
    <w:p w:rsidR="00B271E6" w:rsidRPr="00BA4F53" w:rsidRDefault="00B271E6" w:rsidP="00B271E6">
      <w:pPr>
        <w:pStyle w:val="bullet0"/>
      </w:pPr>
      <w:r w:rsidRPr="00BA4F53">
        <w:t>Maintenance of downstream surface water quality within recognized regulatory standards.</w:t>
      </w:r>
    </w:p>
    <w:p w:rsidR="005611C8" w:rsidRPr="00BA4F53" w:rsidRDefault="00B271E6" w:rsidP="005611C8">
      <w:pPr>
        <w:pStyle w:val="BodyText"/>
      </w:pPr>
      <w:r w:rsidRPr="00BA4F53">
        <w:t xml:space="preserve">Arguably, some of the alternate assumptions </w:t>
      </w:r>
      <w:r w:rsidR="0009367A">
        <w:t xml:space="preserve">proposed </w:t>
      </w:r>
      <w:r w:rsidRPr="00BA4F53">
        <w:t xml:space="preserve">may test the limits of these constraints. That said, there may also be additional cost reduction opportunities provided by a re-examination of the need for, and/or value provided by, these basic characteristics of Option 4 (e.g. are indefinite tailings consolidation timelines tolerable? Would the downstream ecological impacts of the above criteria water quality parameters be </w:t>
      </w:r>
      <w:r w:rsidR="0009367A">
        <w:t>acceptable</w:t>
      </w:r>
      <w:r w:rsidRPr="00BA4F53">
        <w:t>?).</w:t>
      </w:r>
    </w:p>
    <w:p w:rsidR="005611C8" w:rsidRPr="00BA4F53" w:rsidRDefault="006D1696" w:rsidP="005611C8">
      <w:pPr>
        <w:pStyle w:val="Heading3"/>
      </w:pPr>
      <w:bookmarkStart w:id="57" w:name="_Toc404336666"/>
      <w:r w:rsidRPr="00BA4F53">
        <w:t>Outside of the</w:t>
      </w:r>
      <w:r w:rsidR="005611C8" w:rsidRPr="00BA4F53">
        <w:t xml:space="preserve"> Option 4 Concept</w:t>
      </w:r>
      <w:bookmarkEnd w:id="57"/>
    </w:p>
    <w:p w:rsidR="005611C8" w:rsidRPr="00BA4F53" w:rsidRDefault="006D1696" w:rsidP="005611C8">
      <w:pPr>
        <w:pStyle w:val="BodyText"/>
      </w:pPr>
      <w:r w:rsidRPr="00BA4F53">
        <w:t xml:space="preserve">As noted, this review was not intended to consider potential changes that would take the remedial plan outside of the basic definition of Option 4. </w:t>
      </w:r>
      <w:r w:rsidR="0009367A">
        <w:t>In AMEC’s view, there</w:t>
      </w:r>
      <w:r w:rsidRPr="00BA4F53">
        <w:t xml:space="preserve"> would likely be additional cost reduction opportunities </w:t>
      </w:r>
      <w:r w:rsidR="0009367A">
        <w:t xml:space="preserve">available </w:t>
      </w:r>
      <w:r w:rsidRPr="00BA4F53">
        <w:t xml:space="preserve">if changes </w:t>
      </w:r>
      <w:r w:rsidR="0009367A">
        <w:t>beyond</w:t>
      </w:r>
      <w:r w:rsidRPr="00BA4F53">
        <w:t xml:space="preserve"> the current definition of Option 4 were to be considered.</w:t>
      </w:r>
    </w:p>
    <w:p w:rsidR="0006127F" w:rsidRPr="00BA4F53" w:rsidRDefault="005611C8" w:rsidP="00FB5FE8">
      <w:pPr>
        <w:pStyle w:val="Heading2"/>
      </w:pPr>
      <w:bookmarkStart w:id="58" w:name="_Toc404336667"/>
      <w:bookmarkEnd w:id="56"/>
      <w:r w:rsidRPr="00BA4F53">
        <w:t>Value Engineering</w:t>
      </w:r>
      <w:bookmarkEnd w:id="58"/>
    </w:p>
    <w:p w:rsidR="005611C8" w:rsidRPr="00BA4F53" w:rsidRDefault="004C1EB1" w:rsidP="005611C8">
      <w:pPr>
        <w:pStyle w:val="BodyText"/>
      </w:pPr>
      <w:r w:rsidRPr="00BA4F53">
        <w:t>Value E</w:t>
      </w:r>
      <w:r w:rsidR="006D1696" w:rsidRPr="00BA4F53">
        <w:t xml:space="preserve">ngineering </w:t>
      </w:r>
      <w:r w:rsidR="00450214" w:rsidRPr="00BA4F53">
        <w:t>(</w:t>
      </w:r>
      <w:proofErr w:type="spellStart"/>
      <w:r w:rsidR="00450214" w:rsidRPr="00BA4F53">
        <w:t>VE</w:t>
      </w:r>
      <w:proofErr w:type="spellEnd"/>
      <w:r w:rsidR="00450214" w:rsidRPr="00BA4F53">
        <w:t xml:space="preserve">) </w:t>
      </w:r>
      <w:r w:rsidR="006D1696" w:rsidRPr="00BA4F53">
        <w:t>is a process that the Partners could consider for systematically considering the alternate assumptions describ</w:t>
      </w:r>
      <w:r w:rsidRPr="00BA4F53">
        <w:t>ed herein,</w:t>
      </w:r>
      <w:r w:rsidR="006D1696" w:rsidRPr="00BA4F53">
        <w:t xml:space="preserve"> others that might come from a re-examination of the basic Option 4 characteristics and boundary conditions, or changes that might go beyond the current definition of Option 4.</w:t>
      </w:r>
    </w:p>
    <w:p w:rsidR="005611C8" w:rsidRPr="00BA4F53" w:rsidRDefault="004C1EB1" w:rsidP="004C1EB1">
      <w:pPr>
        <w:pStyle w:val="Heading3"/>
      </w:pPr>
      <w:bookmarkStart w:id="59" w:name="_Toc404336668"/>
      <w:r w:rsidRPr="00BA4F53">
        <w:lastRenderedPageBreak/>
        <w:t>Overview</w:t>
      </w:r>
      <w:bookmarkEnd w:id="59"/>
    </w:p>
    <w:p w:rsidR="005611C8" w:rsidRPr="00BA4F53" w:rsidRDefault="004C1EB1" w:rsidP="005611C8">
      <w:pPr>
        <w:pStyle w:val="BodyText"/>
      </w:pPr>
      <w:proofErr w:type="spellStart"/>
      <w:r w:rsidRPr="00BA4F53">
        <w:t>VE</w:t>
      </w:r>
      <w:proofErr w:type="spellEnd"/>
      <w:r w:rsidRPr="00BA4F53">
        <w:t xml:space="preserve"> is a systematic process used by a multidisciplinary team to improve the value of a project through the analysis of its functions. Value is defined as a fair return or equivalent in goods, services, or money for something exchanged. Value is commonly represented by the relationship:</w:t>
      </w:r>
    </w:p>
    <w:p w:rsidR="004C1EB1" w:rsidRPr="00BA4F53" w:rsidRDefault="004C1EB1" w:rsidP="004C1EB1">
      <w:pPr>
        <w:pStyle w:val="BodyText"/>
        <w:jc w:val="center"/>
        <w:rPr>
          <w:b/>
        </w:rPr>
      </w:pPr>
      <w:r w:rsidRPr="00BA4F53">
        <w:rPr>
          <w:b/>
        </w:rPr>
        <w:t>Value = Function/Resources</w:t>
      </w:r>
    </w:p>
    <w:p w:rsidR="004C1EB1" w:rsidRPr="00BA4F53" w:rsidRDefault="004C1EB1" w:rsidP="005611C8">
      <w:pPr>
        <w:pStyle w:val="BodyText"/>
      </w:pPr>
      <w:proofErr w:type="gramStart"/>
      <w:r w:rsidRPr="00BA4F53">
        <w:t>where</w:t>
      </w:r>
      <w:proofErr w:type="gramEnd"/>
      <w:r w:rsidRPr="00BA4F53">
        <w:t xml:space="preserve"> </w:t>
      </w:r>
      <w:r w:rsidRPr="00BA4F53">
        <w:rPr>
          <w:b/>
        </w:rPr>
        <w:t>function</w:t>
      </w:r>
      <w:r w:rsidRPr="00BA4F53">
        <w:t xml:space="preserve"> is measured by the </w:t>
      </w:r>
      <w:r w:rsidR="0009367A">
        <w:t xml:space="preserve">project’s </w:t>
      </w:r>
      <w:r w:rsidRPr="00BA4F53">
        <w:t xml:space="preserve">performance requirements and </w:t>
      </w:r>
      <w:r w:rsidRPr="00BA4F53">
        <w:rPr>
          <w:b/>
        </w:rPr>
        <w:t>resources</w:t>
      </w:r>
      <w:r w:rsidRPr="00BA4F53">
        <w:t xml:space="preserve"> are measured in materials, labour, price, and time required to accomplish that function. A </w:t>
      </w:r>
      <w:proofErr w:type="spellStart"/>
      <w:r w:rsidRPr="00BA4F53">
        <w:t>VE</w:t>
      </w:r>
      <w:proofErr w:type="spellEnd"/>
      <w:r w:rsidRPr="00BA4F53">
        <w:t xml:space="preserve"> methodology focuses on improving value by identifying alternate ways to reliably accomplish a function that meets the performance expectations of the project (SAVE International, 2007).</w:t>
      </w:r>
    </w:p>
    <w:p w:rsidR="005611C8" w:rsidRPr="00BA4F53" w:rsidRDefault="00450214" w:rsidP="00450214">
      <w:pPr>
        <w:pStyle w:val="Heading3"/>
      </w:pPr>
      <w:bookmarkStart w:id="60" w:name="_Toc404336669"/>
      <w:proofErr w:type="spellStart"/>
      <w:r w:rsidRPr="00BA4F53">
        <w:t>VE</w:t>
      </w:r>
      <w:proofErr w:type="spellEnd"/>
      <w:r w:rsidRPr="00BA4F53">
        <w:t xml:space="preserve"> Process</w:t>
      </w:r>
      <w:bookmarkEnd w:id="60"/>
    </w:p>
    <w:p w:rsidR="00450214" w:rsidRPr="00BA4F53" w:rsidRDefault="00450214" w:rsidP="005611C8">
      <w:pPr>
        <w:pStyle w:val="BodyText"/>
      </w:pPr>
      <w:r w:rsidRPr="00BA4F53">
        <w:t xml:space="preserve">A </w:t>
      </w:r>
      <w:proofErr w:type="spellStart"/>
      <w:r w:rsidRPr="00BA4F53">
        <w:t>VE</w:t>
      </w:r>
      <w:proofErr w:type="spellEnd"/>
      <w:r w:rsidRPr="00BA4F53">
        <w:t xml:space="preserve"> process typically applies a plan that </w:t>
      </w:r>
      <w:r w:rsidR="00025FA8" w:rsidRPr="00BA4F53">
        <w:t>includes</w:t>
      </w:r>
      <w:r w:rsidRPr="00BA4F53">
        <w:t xml:space="preserve"> </w:t>
      </w:r>
      <w:r w:rsidR="0009367A">
        <w:t xml:space="preserve">the following </w:t>
      </w:r>
      <w:r w:rsidRPr="00BA4F53">
        <w:t>sequential phases (SAVE International, 2007):</w:t>
      </w:r>
    </w:p>
    <w:p w:rsidR="00450214" w:rsidRPr="00BA4F53" w:rsidRDefault="00450214" w:rsidP="00450214">
      <w:pPr>
        <w:pStyle w:val="List"/>
      </w:pPr>
      <w:r w:rsidRPr="00BA4F53">
        <w:rPr>
          <w:b/>
        </w:rPr>
        <w:t>Information Phase</w:t>
      </w:r>
      <w:r w:rsidRPr="00BA4F53">
        <w:br/>
      </w:r>
      <w:proofErr w:type="gramStart"/>
      <w:r w:rsidRPr="00BA4F53">
        <w:t>The</w:t>
      </w:r>
      <w:proofErr w:type="gramEnd"/>
      <w:r w:rsidRPr="00BA4F53">
        <w:t xml:space="preserve"> team reviews and defines the current conditions of the project and identifies the goals of the study.</w:t>
      </w:r>
    </w:p>
    <w:p w:rsidR="00450214" w:rsidRPr="00BA4F53" w:rsidRDefault="00450214" w:rsidP="00450214">
      <w:pPr>
        <w:pStyle w:val="List"/>
      </w:pPr>
      <w:r w:rsidRPr="00BA4F53">
        <w:rPr>
          <w:b/>
        </w:rPr>
        <w:t>Function Analysis Phase</w:t>
      </w:r>
      <w:r w:rsidRPr="00BA4F53">
        <w:rPr>
          <w:b/>
        </w:rPr>
        <w:br/>
      </w:r>
      <w:proofErr w:type="gramStart"/>
      <w:r w:rsidRPr="00BA4F53">
        <w:t>The</w:t>
      </w:r>
      <w:proofErr w:type="gramEnd"/>
      <w:r w:rsidRPr="00BA4F53">
        <w:t xml:space="preserve"> team defines the project functions and reviews and analyzes these functions to determine which need </w:t>
      </w:r>
      <w:r w:rsidR="00025FA8" w:rsidRPr="00BA4F53">
        <w:t>improvement</w:t>
      </w:r>
      <w:r w:rsidRPr="00BA4F53">
        <w:t>, elimination, or creation to meet the project’s goals.</w:t>
      </w:r>
    </w:p>
    <w:p w:rsidR="00450214" w:rsidRPr="00BA4F53" w:rsidRDefault="00450214" w:rsidP="00450214">
      <w:pPr>
        <w:pStyle w:val="List"/>
      </w:pPr>
      <w:r w:rsidRPr="00BA4F53">
        <w:rPr>
          <w:b/>
        </w:rPr>
        <w:t>Creative Phase</w:t>
      </w:r>
      <w:r w:rsidRPr="00BA4F53">
        <w:rPr>
          <w:b/>
        </w:rPr>
        <w:br/>
      </w:r>
      <w:proofErr w:type="gramStart"/>
      <w:r w:rsidRPr="00BA4F53">
        <w:t>The</w:t>
      </w:r>
      <w:proofErr w:type="gramEnd"/>
      <w:r w:rsidRPr="00BA4F53">
        <w:t xml:space="preserve"> team employs creative techniques to identify other ways to perform the project’s function(s).</w:t>
      </w:r>
    </w:p>
    <w:p w:rsidR="00450214" w:rsidRPr="00BA4F53" w:rsidRDefault="00450214" w:rsidP="00450214">
      <w:pPr>
        <w:pStyle w:val="List"/>
      </w:pPr>
      <w:r w:rsidRPr="00BA4F53">
        <w:rPr>
          <w:b/>
        </w:rPr>
        <w:t>Evaluation Phase</w:t>
      </w:r>
      <w:r w:rsidRPr="00BA4F53">
        <w:rPr>
          <w:b/>
        </w:rPr>
        <w:br/>
      </w:r>
      <w:proofErr w:type="gramStart"/>
      <w:r w:rsidRPr="00BA4F53">
        <w:t>The</w:t>
      </w:r>
      <w:proofErr w:type="gramEnd"/>
      <w:r w:rsidRPr="00BA4F53">
        <w:t xml:space="preserve"> team follows a structured evaluation process to select those ideas that offer the potential for value improvement while delivering the project’s function(s) and considering performance requirements and resource limits.</w:t>
      </w:r>
    </w:p>
    <w:p w:rsidR="00450214" w:rsidRPr="00BA4F53" w:rsidRDefault="00450214" w:rsidP="00450214">
      <w:pPr>
        <w:pStyle w:val="List"/>
      </w:pPr>
      <w:r w:rsidRPr="00BA4F53">
        <w:rPr>
          <w:b/>
        </w:rPr>
        <w:t>Development Phase</w:t>
      </w:r>
      <w:r w:rsidRPr="00BA4F53">
        <w:rPr>
          <w:b/>
        </w:rPr>
        <w:br/>
      </w:r>
      <w:proofErr w:type="gramStart"/>
      <w:r w:rsidRPr="00BA4F53">
        <w:t>The</w:t>
      </w:r>
      <w:proofErr w:type="gramEnd"/>
      <w:r w:rsidRPr="00BA4F53">
        <w:t xml:space="preserve"> team develops the selected ideas into alternatives (or proposals) with a sufficient level of documentation to allow decision makers to determine if the alternative should be implemented.</w:t>
      </w:r>
    </w:p>
    <w:p w:rsidR="00450214" w:rsidRPr="00BA4F53" w:rsidRDefault="00450214" w:rsidP="00450214">
      <w:pPr>
        <w:pStyle w:val="List"/>
      </w:pPr>
      <w:r w:rsidRPr="00BA4F53">
        <w:rPr>
          <w:b/>
        </w:rPr>
        <w:t>Presentation Phase</w:t>
      </w:r>
      <w:r w:rsidRPr="00BA4F53">
        <w:rPr>
          <w:b/>
        </w:rPr>
        <w:br/>
      </w:r>
      <w:proofErr w:type="gramStart"/>
      <w:r w:rsidRPr="00BA4F53">
        <w:t>The</w:t>
      </w:r>
      <w:proofErr w:type="gramEnd"/>
      <w:r w:rsidRPr="00BA4F53">
        <w:t xml:space="preserve"> team leader develops a report and/or presentation that documents and conveys the adequacy of the alternative(s) developed by the team and the associated value improvement opportunity.</w:t>
      </w:r>
    </w:p>
    <w:p w:rsidR="00D75484" w:rsidRPr="00BA4F53" w:rsidRDefault="00CE06DB" w:rsidP="00CE06DB">
      <w:pPr>
        <w:pStyle w:val="Heading3"/>
      </w:pPr>
      <w:bookmarkStart w:id="61" w:name="_Toc404336670"/>
      <w:proofErr w:type="spellStart"/>
      <w:r w:rsidRPr="00BA4F53">
        <w:t>VE</w:t>
      </w:r>
      <w:proofErr w:type="spellEnd"/>
      <w:r w:rsidRPr="00BA4F53">
        <w:t xml:space="preserve"> Team</w:t>
      </w:r>
      <w:bookmarkEnd w:id="61"/>
    </w:p>
    <w:p w:rsidR="00CE06DB" w:rsidRPr="00BA4F53" w:rsidRDefault="00CE06DB" w:rsidP="00D75484">
      <w:pPr>
        <w:pStyle w:val="BodyText"/>
      </w:pPr>
      <w:proofErr w:type="spellStart"/>
      <w:r w:rsidRPr="00BA4F53">
        <w:t>VE</w:t>
      </w:r>
      <w:proofErr w:type="spellEnd"/>
      <w:r w:rsidRPr="00BA4F53">
        <w:t xml:space="preserve"> processes are normally undertaken by a dedicated </w:t>
      </w:r>
      <w:proofErr w:type="spellStart"/>
      <w:r w:rsidRPr="00BA4F53">
        <w:t>VE</w:t>
      </w:r>
      <w:proofErr w:type="spellEnd"/>
      <w:r w:rsidRPr="00BA4F53">
        <w:t xml:space="preserve"> Team facilitated by a </w:t>
      </w:r>
      <w:proofErr w:type="spellStart"/>
      <w:r w:rsidRPr="00BA4F53">
        <w:t>VE</w:t>
      </w:r>
      <w:proofErr w:type="spellEnd"/>
      <w:r w:rsidRPr="00BA4F53">
        <w:t xml:space="preserve"> Team Leader (SAVE International, 2007).</w:t>
      </w:r>
    </w:p>
    <w:p w:rsidR="00CE06DB" w:rsidRPr="00BA4F53" w:rsidRDefault="00CE06DB" w:rsidP="00CE06DB">
      <w:pPr>
        <w:pStyle w:val="List"/>
        <w:numPr>
          <w:ilvl w:val="0"/>
          <w:numId w:val="33"/>
        </w:numPr>
        <w:ind w:left="1267"/>
      </w:pPr>
      <w:proofErr w:type="spellStart"/>
      <w:r w:rsidRPr="00BA4F53">
        <w:rPr>
          <w:b/>
        </w:rPr>
        <w:lastRenderedPageBreak/>
        <w:t>VE</w:t>
      </w:r>
      <w:proofErr w:type="spellEnd"/>
      <w:r w:rsidRPr="00BA4F53">
        <w:rPr>
          <w:b/>
        </w:rPr>
        <w:t xml:space="preserve"> Team</w:t>
      </w:r>
      <w:r w:rsidRPr="00BA4F53">
        <w:br/>
        <w:t xml:space="preserve">The Value Study Team is a </w:t>
      </w:r>
      <w:r w:rsidRPr="00BA4F53">
        <w:rPr>
          <w:b/>
        </w:rPr>
        <w:t>multidisciplinary group</w:t>
      </w:r>
      <w:r w:rsidRPr="00BA4F53">
        <w:t xml:space="preserve"> of experienced professionals and project stakeholders. Team members are chosen based on their expertise and experience with the project. Sometimes individuals who have relevant expertise, but are not directly involved with the project are added to provide a different point of view.</w:t>
      </w:r>
    </w:p>
    <w:p w:rsidR="00CE06DB" w:rsidRPr="00BA4F53" w:rsidRDefault="00CE06DB" w:rsidP="00CE06DB">
      <w:pPr>
        <w:pStyle w:val="List"/>
        <w:keepNext/>
        <w:keepLines/>
        <w:numPr>
          <w:ilvl w:val="0"/>
          <w:numId w:val="33"/>
        </w:numPr>
        <w:ind w:left="1267"/>
      </w:pPr>
      <w:proofErr w:type="spellStart"/>
      <w:r w:rsidRPr="00BA4F53">
        <w:rPr>
          <w:b/>
        </w:rPr>
        <w:t>VE</w:t>
      </w:r>
      <w:proofErr w:type="spellEnd"/>
      <w:r w:rsidRPr="00BA4F53">
        <w:rPr>
          <w:b/>
        </w:rPr>
        <w:t xml:space="preserve"> Team Lead</w:t>
      </w:r>
      <w:r w:rsidRPr="00BA4F53">
        <w:rPr>
          <w:b/>
        </w:rPr>
        <w:br/>
      </w:r>
      <w:r w:rsidRPr="00BA4F53">
        <w:t xml:space="preserve">The </w:t>
      </w:r>
      <w:r w:rsidRPr="00BA4F53">
        <w:rPr>
          <w:b/>
        </w:rPr>
        <w:t>Value Team Leader</w:t>
      </w:r>
      <w:r w:rsidRPr="00BA4F53">
        <w:t xml:space="preserve"> is experienced in value methodology techniques and is nominated to lead a study team using the </w:t>
      </w:r>
      <w:proofErr w:type="spellStart"/>
      <w:r w:rsidRPr="00BA4F53">
        <w:t>VE</w:t>
      </w:r>
      <w:proofErr w:type="spellEnd"/>
      <w:r w:rsidRPr="00BA4F53">
        <w:t xml:space="preserve"> Plan. </w:t>
      </w:r>
      <w:proofErr w:type="spellStart"/>
      <w:r w:rsidRPr="00BA4F53">
        <w:t>VE</w:t>
      </w:r>
      <w:proofErr w:type="spellEnd"/>
      <w:r w:rsidRPr="00BA4F53">
        <w:t xml:space="preserve"> Team leads often have specific </w:t>
      </w:r>
      <w:proofErr w:type="spellStart"/>
      <w:r w:rsidRPr="00BA4F53">
        <w:t>VE</w:t>
      </w:r>
      <w:proofErr w:type="spellEnd"/>
      <w:r w:rsidRPr="00BA4F53">
        <w:t xml:space="preserve"> training and credentials issued by recognized </w:t>
      </w:r>
      <w:proofErr w:type="spellStart"/>
      <w:r w:rsidRPr="00BA4F53">
        <w:t>VE</w:t>
      </w:r>
      <w:proofErr w:type="spellEnd"/>
      <w:r w:rsidRPr="00BA4F53">
        <w:t xml:space="preserve"> organizations or authorities.</w:t>
      </w:r>
    </w:p>
    <w:p w:rsidR="00450214" w:rsidRPr="00BA4F53" w:rsidRDefault="00450214" w:rsidP="005611C8">
      <w:pPr>
        <w:pStyle w:val="BodyText"/>
      </w:pPr>
    </w:p>
    <w:p w:rsidR="009D181E" w:rsidRPr="00BA4F53" w:rsidRDefault="009D181E">
      <w:pPr>
        <w:jc w:val="left"/>
        <w:rPr>
          <w:rFonts w:cs="Arial"/>
          <w:szCs w:val="22"/>
        </w:rPr>
      </w:pPr>
      <w:r w:rsidRPr="00BA4F53">
        <w:br w:type="page"/>
      </w:r>
    </w:p>
    <w:p w:rsidR="008F0302" w:rsidRPr="00BA4F53" w:rsidRDefault="005611C8" w:rsidP="002A60F5">
      <w:pPr>
        <w:pStyle w:val="Heading1"/>
      </w:pPr>
      <w:bookmarkStart w:id="62" w:name="_Toc404336671"/>
      <w:r w:rsidRPr="00BA4F53">
        <w:lastRenderedPageBreak/>
        <w:t>Cost Review Workshop</w:t>
      </w:r>
      <w:bookmarkEnd w:id="62"/>
    </w:p>
    <w:p w:rsidR="008F0302" w:rsidRPr="00BA4F53" w:rsidRDefault="005D3122" w:rsidP="009D181E">
      <w:pPr>
        <w:pStyle w:val="Heading2"/>
      </w:pPr>
      <w:bookmarkStart w:id="63" w:name="_Toc404336672"/>
      <w:r>
        <w:t>Purpose and</w:t>
      </w:r>
      <w:r w:rsidR="005611C8" w:rsidRPr="00BA4F53">
        <w:t xml:space="preserve"> Agenda</w:t>
      </w:r>
      <w:bookmarkEnd w:id="63"/>
    </w:p>
    <w:p w:rsidR="005611C8" w:rsidRDefault="005D3122" w:rsidP="005611C8">
      <w:pPr>
        <w:pStyle w:val="BodyText"/>
      </w:pPr>
      <w:r>
        <w:t xml:space="preserve">The cost review scope of work included a workshop in Whitehorse with the Parties (i.e. </w:t>
      </w:r>
      <w:proofErr w:type="spellStart"/>
      <w:r>
        <w:t>AAM</w:t>
      </w:r>
      <w:proofErr w:type="spellEnd"/>
      <w:r>
        <w:t xml:space="preserve">, </w:t>
      </w:r>
      <w:proofErr w:type="spellStart"/>
      <w:r>
        <w:t>AANDC</w:t>
      </w:r>
      <w:proofErr w:type="spellEnd"/>
      <w:r>
        <w:t xml:space="preserve"> and </w:t>
      </w:r>
      <w:proofErr w:type="spellStart"/>
      <w:r>
        <w:t>LSCFN</w:t>
      </w:r>
      <w:proofErr w:type="spellEnd"/>
      <w:r>
        <w:t>) facilitated by AMEC. The purpose of the workshop was to:</w:t>
      </w:r>
    </w:p>
    <w:p w:rsidR="005D3122" w:rsidRDefault="005D3122" w:rsidP="005D3122">
      <w:pPr>
        <w:pStyle w:val="bullet0"/>
      </w:pPr>
      <w:r>
        <w:t>Outline the components of the cost review and present its findings;</w:t>
      </w:r>
    </w:p>
    <w:p w:rsidR="005D3122" w:rsidRDefault="005D3122" w:rsidP="005D3122">
      <w:pPr>
        <w:pStyle w:val="bullet0"/>
      </w:pPr>
      <w:r>
        <w:t>Continue discussions regarding cost reduction opportunities and strategies; and</w:t>
      </w:r>
    </w:p>
    <w:p w:rsidR="005D3122" w:rsidRPr="00BA4F53" w:rsidRDefault="005D3122" w:rsidP="005D3122">
      <w:pPr>
        <w:pStyle w:val="bullet0"/>
      </w:pPr>
      <w:r>
        <w:t>Review next steps.</w:t>
      </w:r>
    </w:p>
    <w:p w:rsidR="005611C8" w:rsidRPr="00BA4F53" w:rsidRDefault="005D3122" w:rsidP="005611C8">
      <w:pPr>
        <w:pStyle w:val="BodyText"/>
      </w:pPr>
      <w:r>
        <w:t xml:space="preserve">The meeting agenda is included in the workshop materials provided in Appendix </w:t>
      </w:r>
      <w:proofErr w:type="spellStart"/>
      <w:r>
        <w:t>6A</w:t>
      </w:r>
      <w:proofErr w:type="spellEnd"/>
      <w:r>
        <w:t xml:space="preserve">. This agenda started with an introductory statement that provided some general context for the review. Much of the agenda was then given over to a presentation of the cost review document and its findings. The presentation slides are included in Appendix </w:t>
      </w:r>
      <w:proofErr w:type="spellStart"/>
      <w:r>
        <w:t>6A</w:t>
      </w:r>
      <w:proofErr w:type="spellEnd"/>
      <w:r>
        <w:t xml:space="preserve">. The final portion of the workshop was a discussion around design assumptions, potential alternatives to those assumptions and the </w:t>
      </w:r>
      <w:r w:rsidR="008A6FDA">
        <w:t>Parties’</w:t>
      </w:r>
      <w:r>
        <w:t xml:space="preserve"> requirements for final review outcomes.</w:t>
      </w:r>
    </w:p>
    <w:p w:rsidR="008F0302" w:rsidRPr="00BA4F53" w:rsidRDefault="005D3122" w:rsidP="009D181E">
      <w:pPr>
        <w:pStyle w:val="Heading2"/>
      </w:pPr>
      <w:bookmarkStart w:id="64" w:name="_Toc404336673"/>
      <w:r>
        <w:t>Outcomes</w:t>
      </w:r>
      <w:bookmarkEnd w:id="64"/>
    </w:p>
    <w:p w:rsidR="005611C8" w:rsidRDefault="005D3122" w:rsidP="005611C8">
      <w:pPr>
        <w:pStyle w:val="BodyText"/>
      </w:pPr>
      <w:r>
        <w:t xml:space="preserve">The participants noted the challenges of making clear connections between key assumptions in the Design Base Case and the Option 4 performance requirements or criteria </w:t>
      </w:r>
      <w:r w:rsidR="00971E28">
        <w:t>driving</w:t>
      </w:r>
      <w:r>
        <w:t xml:space="preserve"> those assumptions. This lack of clarity is grounded in the fact that the general tenets of Option 4 are of necessity, fairly broad and required interpretation by the design team to identify specific plans and methods for addressing them (for example, what constitutes a stable pit surface does not easily or transparently translate into a specific compaction specification or relocation methodology). It was noted as well that this lack of clarify complicates the process of identifying potential changes to Base Case elements, performance and cost in ways that can be understood and assessed by the </w:t>
      </w:r>
      <w:r w:rsidR="008A6FDA">
        <w:t>Parties</w:t>
      </w:r>
      <w:r>
        <w:t>. It was agreed that AMEC would consider summary approaches for clarifying these links between design elements and performance outcomes, and review the utility of those approaches in subsequent consultations with the Parties.</w:t>
      </w:r>
    </w:p>
    <w:p w:rsidR="008A6FDA" w:rsidRPr="00BA4F53" w:rsidRDefault="008A6FDA" w:rsidP="005611C8">
      <w:pPr>
        <w:pStyle w:val="BodyText"/>
      </w:pPr>
    </w:p>
    <w:p w:rsidR="00A2763D" w:rsidRPr="00BA4F53" w:rsidRDefault="00A2763D">
      <w:pPr>
        <w:jc w:val="left"/>
        <w:rPr>
          <w:rFonts w:cs="Arial"/>
          <w:szCs w:val="22"/>
        </w:rPr>
      </w:pPr>
      <w:r w:rsidRPr="00BA4F53">
        <w:br w:type="page"/>
      </w:r>
    </w:p>
    <w:p w:rsidR="008F0302" w:rsidRPr="00BA4F53" w:rsidRDefault="00A2763D" w:rsidP="002A60F5">
      <w:pPr>
        <w:pStyle w:val="Heading1"/>
      </w:pPr>
      <w:bookmarkStart w:id="65" w:name="_Toc404336674"/>
      <w:r w:rsidRPr="00BA4F53">
        <w:lastRenderedPageBreak/>
        <w:t>Summary and Conclusions</w:t>
      </w:r>
      <w:bookmarkEnd w:id="65"/>
    </w:p>
    <w:p w:rsidR="002A60F5" w:rsidRPr="00BA4F53" w:rsidRDefault="005F55C2" w:rsidP="005F55C2">
      <w:pPr>
        <w:pStyle w:val="Heading2"/>
      </w:pPr>
      <w:bookmarkStart w:id="66" w:name="_Toc404336675"/>
      <w:r>
        <w:t>Cost Reconciliation</w:t>
      </w:r>
      <w:bookmarkEnd w:id="66"/>
    </w:p>
    <w:p w:rsidR="002A60F5" w:rsidRDefault="005F55C2" w:rsidP="002A60F5">
      <w:pPr>
        <w:pStyle w:val="BodyText"/>
      </w:pPr>
      <w:r>
        <w:t>AMEC completed a reconciliation of the pre-Phase 1 LORAX/AECOM estimate and the Phase 1 AMEC estimate. This reconciliation was intended to identify:</w:t>
      </w:r>
    </w:p>
    <w:p w:rsidR="005F55C2" w:rsidRDefault="004C40F2" w:rsidP="005F55C2">
      <w:pPr>
        <w:pStyle w:val="bullet0"/>
      </w:pPr>
      <w:r>
        <w:t>Any previously unidentified scope elements that were added to the Phase 1 estimate;</w:t>
      </w:r>
    </w:p>
    <w:p w:rsidR="004C40F2" w:rsidRDefault="004C40F2" w:rsidP="005F55C2">
      <w:pPr>
        <w:pStyle w:val="bullet0"/>
      </w:pPr>
      <w:r>
        <w:t>Key elements of the project scope and/or the associated execution methods that exhibit significant differences between the estimates;</w:t>
      </w:r>
    </w:p>
    <w:p w:rsidR="004C40F2" w:rsidRPr="00BA4F53" w:rsidRDefault="004C40F2" w:rsidP="005F55C2">
      <w:pPr>
        <w:pStyle w:val="bullet0"/>
      </w:pPr>
      <w:r>
        <w:t>The primary drivers for cost differences in those scope areas/execution methods (e.g. differences in quantity, pricing and/or execution methodology).</w:t>
      </w:r>
    </w:p>
    <w:p w:rsidR="002A60F5" w:rsidRDefault="004C40F2" w:rsidP="002A60F5">
      <w:pPr>
        <w:pStyle w:val="BodyText"/>
      </w:pPr>
      <w:r>
        <w:t>AMEC’s review identified a variance between the Phase 1 AMEC estimate ($89.8 million) and the pre-Phase 1 AECOM estimate ($33.7 million including a 9% escalation to present in 2014 dollars) of $56.1 million. The following incremental scope elements (i.e. included in the AMEC estimate, but not the AECOM estimate) contributed to this variance:</w:t>
      </w:r>
    </w:p>
    <w:p w:rsidR="004C40F2" w:rsidRDefault="004C40F2" w:rsidP="004C40F2">
      <w:pPr>
        <w:pStyle w:val="bullet0"/>
        <w:tabs>
          <w:tab w:val="right" w:pos="9630"/>
        </w:tabs>
      </w:pPr>
      <w:r>
        <w:t>Site maintenance between construction seasons</w:t>
      </w:r>
      <w:r>
        <w:tab/>
        <w:t>$2.1 million</w:t>
      </w:r>
    </w:p>
    <w:p w:rsidR="004C40F2" w:rsidRDefault="004C40F2" w:rsidP="004C40F2">
      <w:pPr>
        <w:pStyle w:val="bullet0"/>
        <w:tabs>
          <w:tab w:val="right" w:pos="9630"/>
        </w:tabs>
      </w:pPr>
      <w:r>
        <w:t>Haul road and pit wall stabilization</w:t>
      </w:r>
      <w:r>
        <w:tab/>
        <w:t>$0.7 million</w:t>
      </w:r>
    </w:p>
    <w:p w:rsidR="004C40F2" w:rsidRDefault="004C40F2" w:rsidP="004C40F2">
      <w:pPr>
        <w:pStyle w:val="bullet0"/>
        <w:tabs>
          <w:tab w:val="right" w:pos="9630"/>
        </w:tabs>
      </w:pPr>
      <w:proofErr w:type="spellStart"/>
      <w:r>
        <w:t>Wellpoint</w:t>
      </w:r>
      <w:proofErr w:type="spellEnd"/>
      <w:r>
        <w:t xml:space="preserve"> dewatering</w:t>
      </w:r>
      <w:r>
        <w:tab/>
        <w:t>$11.3 million</w:t>
      </w:r>
    </w:p>
    <w:p w:rsidR="004C40F2" w:rsidRDefault="004C40F2" w:rsidP="004C40F2">
      <w:pPr>
        <w:pStyle w:val="bullet0"/>
        <w:tabs>
          <w:tab w:val="right" w:pos="9630"/>
        </w:tabs>
      </w:pPr>
      <w:proofErr w:type="spellStart"/>
      <w:r>
        <w:t>PAG</w:t>
      </w:r>
      <w:proofErr w:type="spellEnd"/>
      <w:r>
        <w:t xml:space="preserve"> rock/tails mixing</w:t>
      </w:r>
      <w:r>
        <w:tab/>
        <w:t>$4.7 million</w:t>
      </w:r>
    </w:p>
    <w:p w:rsidR="004C40F2" w:rsidRDefault="004C40F2" w:rsidP="004C40F2">
      <w:pPr>
        <w:pStyle w:val="bullet0"/>
        <w:tabs>
          <w:tab w:val="right" w:pos="9630"/>
        </w:tabs>
      </w:pPr>
      <w:r>
        <w:t>Design contingencies</w:t>
      </w:r>
      <w:r>
        <w:tab/>
        <w:t>$1.4 million</w:t>
      </w:r>
    </w:p>
    <w:p w:rsidR="004C40F2" w:rsidRDefault="004C40F2" w:rsidP="004C40F2">
      <w:pPr>
        <w:pStyle w:val="bullet0"/>
        <w:tabs>
          <w:tab w:val="right" w:pos="9630"/>
        </w:tabs>
      </w:pPr>
      <w:r>
        <w:t>Adaptive Management requirements</w:t>
      </w:r>
      <w:r>
        <w:tab/>
        <w:t>$3.8 million</w:t>
      </w:r>
    </w:p>
    <w:p w:rsidR="004C40F2" w:rsidRDefault="004C40F2" w:rsidP="004C40F2">
      <w:pPr>
        <w:pStyle w:val="bullet0"/>
        <w:tabs>
          <w:tab w:val="right" w:pos="9630"/>
        </w:tabs>
      </w:pPr>
      <w:r>
        <w:t>Estimate contingency (on incremental scope items)</w:t>
      </w:r>
      <w:r>
        <w:tab/>
      </w:r>
      <w:r>
        <w:rPr>
          <w:u w:val="single"/>
        </w:rPr>
        <w:t xml:space="preserve">  $4.8 million</w:t>
      </w:r>
    </w:p>
    <w:p w:rsidR="004C40F2" w:rsidRDefault="004C40F2" w:rsidP="004C40F2">
      <w:pPr>
        <w:pStyle w:val="bullet0"/>
        <w:numPr>
          <w:ilvl w:val="0"/>
          <w:numId w:val="0"/>
        </w:numPr>
        <w:tabs>
          <w:tab w:val="left" w:pos="7380"/>
          <w:tab w:val="right" w:pos="9630"/>
        </w:tabs>
        <w:ind w:left="360"/>
      </w:pPr>
      <w:r>
        <w:tab/>
        <w:t>Total:</w:t>
      </w:r>
      <w:r>
        <w:tab/>
        <w:t>$29.0 million</w:t>
      </w:r>
    </w:p>
    <w:p w:rsidR="004C40F2" w:rsidRDefault="004C40F2" w:rsidP="002A60F5">
      <w:pPr>
        <w:pStyle w:val="BodyText"/>
      </w:pPr>
      <w:r>
        <w:t>In addition, the following primary differences between the AMEC and AECOM estimates contributed to the variance:</w:t>
      </w:r>
    </w:p>
    <w:p w:rsidR="00930854" w:rsidRPr="00BA4F53" w:rsidRDefault="00930854" w:rsidP="00930854">
      <w:pPr>
        <w:pStyle w:val="bullet0"/>
      </w:pPr>
      <w:r w:rsidRPr="00BA4F53">
        <w:rPr>
          <w:b/>
        </w:rPr>
        <w:t>The general approach to the two estimates.</w:t>
      </w:r>
      <w:r w:rsidRPr="00BA4F53">
        <w:t xml:space="preserve"> </w:t>
      </w:r>
      <w:r>
        <w:t>T</w:t>
      </w:r>
      <w:r w:rsidRPr="00BA4F53">
        <w:t>he AMEC estimate account</w:t>
      </w:r>
      <w:r>
        <w:t>s</w:t>
      </w:r>
      <w:r w:rsidRPr="00BA4F53">
        <w:t xml:space="preserve"> for all contractor </w:t>
      </w:r>
      <w:proofErr w:type="spellStart"/>
      <w:r w:rsidRPr="00BA4F53">
        <w:t>indirects</w:t>
      </w:r>
      <w:proofErr w:type="spellEnd"/>
      <w:r w:rsidRPr="00BA4F53">
        <w:t xml:space="preserve"> </w:t>
      </w:r>
      <w:r>
        <w:t>(e.g.</w:t>
      </w:r>
      <w:r w:rsidRPr="00BA4F53">
        <w:t xml:space="preserve"> contractor site overhead staff, camp catering and housekeeping, haul road improvements, and major sediment and water management works required during construction</w:t>
      </w:r>
      <w:r>
        <w:t>)</w:t>
      </w:r>
      <w:r w:rsidR="00971E28">
        <w:t xml:space="preserve"> and is based on an execution schedule based on estimated activity durations</w:t>
      </w:r>
      <w:r w:rsidRPr="00BA4F53">
        <w:t>.</w:t>
      </w:r>
    </w:p>
    <w:p w:rsidR="00930854" w:rsidRPr="00BA4F53" w:rsidRDefault="00930854" w:rsidP="00477AAA">
      <w:pPr>
        <w:pStyle w:val="bullet0"/>
      </w:pPr>
      <w:r w:rsidRPr="00BA4F53">
        <w:rPr>
          <w:b/>
        </w:rPr>
        <w:t xml:space="preserve">The general methodology assumed for removing the tailings from the </w:t>
      </w:r>
      <w:proofErr w:type="spellStart"/>
      <w:r w:rsidRPr="00BA4F53">
        <w:rPr>
          <w:b/>
        </w:rPr>
        <w:t>TSF</w:t>
      </w:r>
      <w:proofErr w:type="spellEnd"/>
      <w:r w:rsidRPr="00BA4F53">
        <w:rPr>
          <w:b/>
        </w:rPr>
        <w:t>.</w:t>
      </w:r>
      <w:r w:rsidRPr="00BA4F53">
        <w:t xml:space="preserve"> </w:t>
      </w:r>
      <w:r w:rsidR="00477AAA">
        <w:t>In short, the AMEC methodology aligns with the project need to provide conditions in the backfilled pit consistent with the development, within reasonable timelines, of a stable pit cover and reclamation surface. AECOM’s concept involves relocating tailings largely at their in-place moisture content and does not explicitly define how the result can provide surfaces stable enough to sustain the specified pit cover</w:t>
      </w:r>
      <w:r>
        <w:t>.</w:t>
      </w:r>
    </w:p>
    <w:p w:rsidR="00930854" w:rsidRPr="00BA4F53" w:rsidRDefault="00930854" w:rsidP="00744BD2">
      <w:pPr>
        <w:pStyle w:val="bullet0"/>
        <w:keepNext/>
        <w:keepLines/>
      </w:pPr>
      <w:r w:rsidRPr="00BA4F53">
        <w:rPr>
          <w:b/>
        </w:rPr>
        <w:lastRenderedPageBreak/>
        <w:t xml:space="preserve">Reclamation of the </w:t>
      </w:r>
      <w:proofErr w:type="spellStart"/>
      <w:r w:rsidRPr="00BA4F53">
        <w:rPr>
          <w:b/>
        </w:rPr>
        <w:t>TSF</w:t>
      </w:r>
      <w:proofErr w:type="spellEnd"/>
      <w:r w:rsidRPr="00BA4F53">
        <w:rPr>
          <w:b/>
        </w:rPr>
        <w:t xml:space="preserve"> footprint.</w:t>
      </w:r>
      <w:r w:rsidRPr="00BA4F53">
        <w:t xml:space="preserve"> </w:t>
      </w:r>
      <w:r w:rsidR="00477AAA">
        <w:t xml:space="preserve">AMEC assumed that a more physically robust protection for exposed ground surfaces comprised of </w:t>
      </w:r>
      <w:r w:rsidRPr="00BA4F53">
        <w:t xml:space="preserve">300 mm </w:t>
      </w:r>
      <w:r w:rsidR="00477AAA">
        <w:t>o</w:t>
      </w:r>
      <w:r w:rsidRPr="00BA4F53">
        <w:t xml:space="preserve">f sand overlaid </w:t>
      </w:r>
      <w:r w:rsidR="00477AAA">
        <w:t>by</w:t>
      </w:r>
      <w:r w:rsidRPr="00BA4F53">
        <w:t xml:space="preserve"> a 1,200 mm layer of NAG rock </w:t>
      </w:r>
      <w:r w:rsidR="00477AAA">
        <w:t>would be needed to address permafrost conditions and to mitigate erosion potentials.</w:t>
      </w:r>
    </w:p>
    <w:p w:rsidR="00930854" w:rsidRPr="00BA4F53" w:rsidRDefault="00930854" w:rsidP="00930854">
      <w:pPr>
        <w:pStyle w:val="bullet0"/>
      </w:pPr>
      <w:r w:rsidRPr="00BA4F53">
        <w:rPr>
          <w:b/>
        </w:rPr>
        <w:t>Water treatment</w:t>
      </w:r>
      <w:r w:rsidRPr="00BA4F53">
        <w:t xml:space="preserve">. </w:t>
      </w:r>
      <w:r w:rsidR="00477AAA">
        <w:t>AMEC assumed a fixed treatment capacity would be needed to address a larger hydraulic capacity than AECOM</w:t>
      </w:r>
      <w:r w:rsidRPr="00BA4F53">
        <w:t>.</w:t>
      </w:r>
    </w:p>
    <w:p w:rsidR="00930854" w:rsidRPr="00BA4F53" w:rsidRDefault="00930854" w:rsidP="00930854">
      <w:pPr>
        <w:pStyle w:val="bullet0"/>
      </w:pPr>
      <w:proofErr w:type="spellStart"/>
      <w:r w:rsidRPr="00BA4F53">
        <w:rPr>
          <w:b/>
        </w:rPr>
        <w:t>Landforming</w:t>
      </w:r>
      <w:proofErr w:type="spellEnd"/>
      <w:r w:rsidRPr="00BA4F53">
        <w:t xml:space="preserve">. AMEC </w:t>
      </w:r>
      <w:r w:rsidR="00477AAA">
        <w:t>assumed a relatively comprehensive</w:t>
      </w:r>
      <w:r w:rsidRPr="00BA4F53">
        <w:t xml:space="preserve"> rough grading and </w:t>
      </w:r>
      <w:proofErr w:type="spellStart"/>
      <w:r w:rsidRPr="00BA4F53">
        <w:t>revegetation</w:t>
      </w:r>
      <w:proofErr w:type="spellEnd"/>
      <w:r w:rsidRPr="00BA4F53">
        <w:t xml:space="preserve"> </w:t>
      </w:r>
      <w:r w:rsidR="00477AAA">
        <w:t>plan would follow</w:t>
      </w:r>
      <w:r w:rsidRPr="00BA4F53">
        <w:t xml:space="preserve"> removal of all NAG and hydrocarbon contaminated materials. </w:t>
      </w:r>
    </w:p>
    <w:p w:rsidR="00930854" w:rsidRPr="00BA4F53" w:rsidRDefault="00930854" w:rsidP="00930854">
      <w:pPr>
        <w:pStyle w:val="bullet0"/>
      </w:pPr>
      <w:r w:rsidRPr="00BA4F53">
        <w:rPr>
          <w:b/>
        </w:rPr>
        <w:t>Removal of hazardous materials from site</w:t>
      </w:r>
      <w:r w:rsidRPr="00BA4F53">
        <w:t xml:space="preserve">. </w:t>
      </w:r>
      <w:r w:rsidR="00477AAA">
        <w:t>AMEC assumed that all special waste soils would be directed to offsite, commercial disposition facilities</w:t>
      </w:r>
      <w:r w:rsidRPr="00BA4F53">
        <w:t>.</w:t>
      </w:r>
    </w:p>
    <w:p w:rsidR="00930854" w:rsidRPr="00BA4F53" w:rsidRDefault="00930854" w:rsidP="00930854">
      <w:pPr>
        <w:pStyle w:val="bullet0"/>
      </w:pPr>
      <w:r w:rsidRPr="00BA4F53">
        <w:rPr>
          <w:b/>
        </w:rPr>
        <w:t>Open pit cover</w:t>
      </w:r>
      <w:r w:rsidRPr="00BA4F53">
        <w:t xml:space="preserve">. </w:t>
      </w:r>
      <w:r w:rsidR="00477AAA">
        <w:t>T</w:t>
      </w:r>
      <w:r w:rsidRPr="00BA4F53">
        <w:t xml:space="preserve">he AMEC estimate </w:t>
      </w:r>
      <w:r w:rsidR="00477AAA">
        <w:t>applied a two cover concept incorporating</w:t>
      </w:r>
      <w:r w:rsidRPr="00BA4F53">
        <w:t xml:space="preserve"> an interim cover followed by a final engineered cover, </w:t>
      </w:r>
      <w:r w:rsidR="00477AAA">
        <w:t>while</w:t>
      </w:r>
      <w:r w:rsidRPr="00BA4F53">
        <w:t xml:space="preserve"> the AECOM estimate </w:t>
      </w:r>
      <w:r w:rsidR="00971E28">
        <w:t xml:space="preserve">assumed </w:t>
      </w:r>
      <w:r w:rsidRPr="00BA4F53">
        <w:t xml:space="preserve">a </w:t>
      </w:r>
      <w:r w:rsidR="00477AAA">
        <w:t>single,</w:t>
      </w:r>
      <w:r w:rsidRPr="00BA4F53">
        <w:t xml:space="preserve"> less complex cover. </w:t>
      </w:r>
    </w:p>
    <w:p w:rsidR="00930854" w:rsidRPr="00BA4F53" w:rsidRDefault="00930854" w:rsidP="00930854">
      <w:pPr>
        <w:pStyle w:val="bullet0"/>
      </w:pPr>
      <w:r w:rsidRPr="00BA4F53">
        <w:rPr>
          <w:b/>
        </w:rPr>
        <w:t>Contingency</w:t>
      </w:r>
      <w:r w:rsidRPr="00BA4F53">
        <w:t xml:space="preserve">. </w:t>
      </w:r>
      <w:r w:rsidR="00477AAA">
        <w:t>The higher AMEC estimate attracted a higher absolute value for estimating contingency</w:t>
      </w:r>
      <w:r w:rsidRPr="00BA4F53">
        <w:t>.</w:t>
      </w:r>
    </w:p>
    <w:p w:rsidR="004C40F2" w:rsidRDefault="00477AAA" w:rsidP="00477AAA">
      <w:pPr>
        <w:pStyle w:val="Heading2"/>
      </w:pPr>
      <w:bookmarkStart w:id="67" w:name="_Toc404336676"/>
      <w:r>
        <w:t>Cost Assumptions Review and Sensitivity Assessment</w:t>
      </w:r>
      <w:bookmarkEnd w:id="67"/>
    </w:p>
    <w:p w:rsidR="00477AAA" w:rsidRDefault="00477AAA" w:rsidP="002A60F5">
      <w:pPr>
        <w:pStyle w:val="BodyText"/>
      </w:pPr>
      <w:r>
        <w:t xml:space="preserve">The assumptions applied for the key scope areas in AMEC’s estimate were reviewed and potential alternates to these assumptions identified. Those alternate assumptions were then applied to the Phase 1 estimating format to assess the impact on costs. This exercise predicted </w:t>
      </w:r>
      <w:r w:rsidR="0087430D" w:rsidRPr="00BA4F53">
        <w:t>a lower bound estimate of about $60 M and an upper bound of $94 M, on a base estimate of some $90 M. The position of the base estimate within the limits of this range can be viewed as a rough indication of the degree of conservatism in the base estimate. However, this interpretation should be applied with caution, absent a more systematic, risk based quantification of the probabilities that might be attached to these figures.</w:t>
      </w:r>
    </w:p>
    <w:p w:rsidR="0087430D" w:rsidRPr="00BA4F53" w:rsidRDefault="0087430D" w:rsidP="0087430D">
      <w:pPr>
        <w:pStyle w:val="BodyText"/>
      </w:pPr>
      <w:r>
        <w:t>The lower bound estimate was of particular interest, given the objectives of this review</w:t>
      </w:r>
      <w:r w:rsidR="00971E28">
        <w:t>. T</w:t>
      </w:r>
      <w:r>
        <w:t xml:space="preserve">he following </w:t>
      </w:r>
      <w:r w:rsidRPr="00BA4F53">
        <w:t xml:space="preserve">assumptions/issues </w:t>
      </w:r>
      <w:r>
        <w:t>were found</w:t>
      </w:r>
      <w:r w:rsidRPr="00BA4F53">
        <w:t xml:space="preserve"> to have the greatest influence on potential reductions from the base estimate (in declining order of importance):</w:t>
      </w:r>
    </w:p>
    <w:p w:rsidR="0087430D" w:rsidRPr="00BA4F53" w:rsidRDefault="0087430D" w:rsidP="0087430D">
      <w:pPr>
        <w:pStyle w:val="bullet0"/>
      </w:pPr>
      <w:r w:rsidRPr="00BA4F53">
        <w:t xml:space="preserve">The specific materials handling methods applied for the movement of tailings and </w:t>
      </w:r>
      <w:proofErr w:type="spellStart"/>
      <w:r w:rsidRPr="00BA4F53">
        <w:t>PAG</w:t>
      </w:r>
      <w:proofErr w:type="spellEnd"/>
      <w:r w:rsidRPr="00BA4F53">
        <w:t xml:space="preserve"> rock to the Open Pit;</w:t>
      </w:r>
    </w:p>
    <w:p w:rsidR="0087430D" w:rsidRPr="00BA4F53" w:rsidRDefault="0087430D" w:rsidP="0087430D">
      <w:pPr>
        <w:pStyle w:val="bullet0"/>
      </w:pPr>
      <w:r w:rsidRPr="00BA4F53">
        <w:t xml:space="preserve">The configuration and efficiency of the </w:t>
      </w:r>
      <w:proofErr w:type="spellStart"/>
      <w:r w:rsidRPr="00BA4F53">
        <w:t>wellpoint</w:t>
      </w:r>
      <w:proofErr w:type="spellEnd"/>
      <w:r w:rsidRPr="00BA4F53">
        <w:t xml:space="preserve"> dewatering system used to facilitate the excavation of tailings;</w:t>
      </w:r>
    </w:p>
    <w:p w:rsidR="0087430D" w:rsidRPr="00BA4F53" w:rsidRDefault="0087430D" w:rsidP="0087430D">
      <w:pPr>
        <w:pStyle w:val="bullet0"/>
      </w:pPr>
      <w:r w:rsidRPr="00BA4F53">
        <w:t>The capacity, configuration and reagent consumption for the water treatment capability developed to accommodate waters incompatible with direct release onsite;</w:t>
      </w:r>
    </w:p>
    <w:p w:rsidR="0087430D" w:rsidRPr="00BA4F53" w:rsidRDefault="0087430D" w:rsidP="0087430D">
      <w:pPr>
        <w:pStyle w:val="bullet0"/>
      </w:pPr>
      <w:r w:rsidRPr="00BA4F53">
        <w:t>The pit cover concepts and maintenance protocols applied to mitigate post remediation differential settlements in the backfilled pit;</w:t>
      </w:r>
    </w:p>
    <w:p w:rsidR="0087430D" w:rsidRPr="00BA4F53" w:rsidRDefault="0087430D" w:rsidP="0087430D">
      <w:pPr>
        <w:pStyle w:val="bullet0"/>
      </w:pPr>
      <w:r w:rsidRPr="00BA4F53">
        <w:lastRenderedPageBreak/>
        <w:t>The extent to which design contingencies and Adaptive Management protocols must be applied to mitigate risks associated with post remediation downstream surface water quality excursions;</w:t>
      </w:r>
    </w:p>
    <w:p w:rsidR="0087430D" w:rsidRPr="00BA4F53" w:rsidRDefault="0087430D" w:rsidP="0087430D">
      <w:pPr>
        <w:pStyle w:val="bullet0"/>
      </w:pPr>
      <w:r w:rsidRPr="00BA4F53">
        <w:t>The approach taken for the disposition of contaminated soils categorized as special waste (i.e. onsite vs. offsite); and</w:t>
      </w:r>
    </w:p>
    <w:p w:rsidR="00477AAA" w:rsidRDefault="0087430D" w:rsidP="0087430D">
      <w:pPr>
        <w:pStyle w:val="bullet0"/>
      </w:pPr>
      <w:r w:rsidRPr="00BA4F53">
        <w:t xml:space="preserve">The extent to which reclamation concepts rely on </w:t>
      </w:r>
      <w:proofErr w:type="spellStart"/>
      <w:r w:rsidRPr="00BA4F53">
        <w:t>revegetated</w:t>
      </w:r>
      <w:proofErr w:type="spellEnd"/>
      <w:r w:rsidRPr="00BA4F53">
        <w:t xml:space="preserve"> vs. granular finished landscapes.</w:t>
      </w:r>
    </w:p>
    <w:p w:rsidR="004C40F2" w:rsidRDefault="006D44EB" w:rsidP="006D44EB">
      <w:pPr>
        <w:pStyle w:val="Heading2"/>
      </w:pPr>
      <w:bookmarkStart w:id="68" w:name="_Toc404336677"/>
      <w:r>
        <w:t>Cost Reduction Opportunities</w:t>
      </w:r>
      <w:bookmarkEnd w:id="68"/>
    </w:p>
    <w:p w:rsidR="00147D50" w:rsidRPr="00BA4F53" w:rsidRDefault="00147D50" w:rsidP="00147D50">
      <w:pPr>
        <w:pStyle w:val="BodyText"/>
      </w:pPr>
      <w:r w:rsidRPr="00BA4F53">
        <w:t xml:space="preserve">The scope of this review was to identify and consider cost reduction opportunities within the constraints and objectives of Option 4 (i.e. without re-examining the basic option assessment or selection process). The assumptions review and sensitivity analysis were based on alternate assumptions that were intended to satisfy the key </w:t>
      </w:r>
      <w:r w:rsidR="00F8626D">
        <w:t>tenet</w:t>
      </w:r>
      <w:r>
        <w:t>s</w:t>
      </w:r>
      <w:r w:rsidRPr="00BA4F53">
        <w:t xml:space="preserve"> of Option 4, specifically:</w:t>
      </w:r>
    </w:p>
    <w:p w:rsidR="00147D50" w:rsidRPr="00BA4F53" w:rsidRDefault="00147D50" w:rsidP="00147D50">
      <w:pPr>
        <w:pStyle w:val="bullet0"/>
      </w:pPr>
      <w:r w:rsidRPr="00BA4F53">
        <w:t>Tailings relocation and dam decommissioning</w:t>
      </w:r>
      <w:r w:rsidR="00971E28">
        <w:t xml:space="preserve"> followed by restoration of the Dome Creek valley</w:t>
      </w:r>
      <w:r w:rsidRPr="00BA4F53">
        <w:t>;</w:t>
      </w:r>
    </w:p>
    <w:p w:rsidR="00147D50" w:rsidRPr="00BA4F53" w:rsidRDefault="00147D50" w:rsidP="00147D50">
      <w:pPr>
        <w:pStyle w:val="bullet0"/>
      </w:pPr>
      <w:r w:rsidRPr="00BA4F53">
        <w:t>Placement of “low moisture” tailings;</w:t>
      </w:r>
    </w:p>
    <w:p w:rsidR="00147D50" w:rsidRPr="00BA4F53" w:rsidRDefault="00147D50" w:rsidP="00147D50">
      <w:pPr>
        <w:pStyle w:val="bullet0"/>
      </w:pPr>
      <w:r w:rsidRPr="00BA4F53">
        <w:t>Maintenance of tailings above the water table;</w:t>
      </w:r>
    </w:p>
    <w:p w:rsidR="00147D50" w:rsidRPr="00BA4F53" w:rsidRDefault="00147D50" w:rsidP="00147D50">
      <w:pPr>
        <w:pStyle w:val="bullet0"/>
      </w:pPr>
      <w:r w:rsidRPr="00BA4F53">
        <w:t xml:space="preserve">Provision of stable and useable backfilled pit surfaces over reasonable timeframes (i.e. without creating practically indefinite </w:t>
      </w:r>
      <w:r>
        <w:t>restrictions</w:t>
      </w:r>
      <w:r w:rsidRPr="00BA4F53">
        <w:t xml:space="preserve"> on land use); and</w:t>
      </w:r>
    </w:p>
    <w:p w:rsidR="00147D50" w:rsidRPr="00BA4F53" w:rsidRDefault="00147D50" w:rsidP="00147D50">
      <w:pPr>
        <w:pStyle w:val="bullet0"/>
      </w:pPr>
      <w:r w:rsidRPr="00BA4F53">
        <w:t>Maintenance of downstream surface water quality within recognized regulatory standards.</w:t>
      </w:r>
    </w:p>
    <w:p w:rsidR="00147D50" w:rsidRPr="00BA4F53" w:rsidRDefault="00147D50" w:rsidP="00147D50">
      <w:pPr>
        <w:pStyle w:val="BodyText"/>
      </w:pPr>
      <w:r w:rsidRPr="00BA4F53">
        <w:t xml:space="preserve">Arguably, some of the alternate assumptions </w:t>
      </w:r>
      <w:r>
        <w:t xml:space="preserve">proposed </w:t>
      </w:r>
      <w:r w:rsidRPr="00BA4F53">
        <w:t xml:space="preserve">may test the limits of these constraints. That said, there may also be additional cost reduction opportunities provided by a re-examination of the need for, and/or value provided by, these basic characteristics of Option 4 (e.g. are indefinite tailings consolidation timelines tolerable? Would the downstream ecological impacts of the above criteria water quality parameters be </w:t>
      </w:r>
      <w:r>
        <w:t>acceptable</w:t>
      </w:r>
      <w:r w:rsidRPr="00BA4F53">
        <w:t>?).</w:t>
      </w:r>
    </w:p>
    <w:p w:rsidR="0087430D" w:rsidRDefault="006D44EB" w:rsidP="002A60F5">
      <w:pPr>
        <w:pStyle w:val="BodyText"/>
      </w:pPr>
      <w:r>
        <w:t xml:space="preserve">Identifying those alternate assumptions and/or revisions to the key </w:t>
      </w:r>
      <w:r w:rsidR="00F8626D">
        <w:t>tenet</w:t>
      </w:r>
      <w:r>
        <w:t xml:space="preserve">s of Option 4 that will produce the desired cost reductions, while accommodating the needs and requirements of the Partners, will require additional review and consultation. Various approaches to this could be considered; for example, a Value Engineering </w:t>
      </w:r>
      <w:r w:rsidR="00971E28">
        <w:t>(</w:t>
      </w:r>
      <w:proofErr w:type="spellStart"/>
      <w:r w:rsidR="00971E28">
        <w:t>VE</w:t>
      </w:r>
      <w:proofErr w:type="spellEnd"/>
      <w:r w:rsidR="00971E28">
        <w:t xml:space="preserve">) </w:t>
      </w:r>
      <w:r>
        <w:t xml:space="preserve">process structured to systematically </w:t>
      </w:r>
      <w:r w:rsidR="00971E28">
        <w:t>work</w:t>
      </w:r>
      <w:r>
        <w:t xml:space="preserve"> through the issues involved with the Partners and their consultants could be undertaken.</w:t>
      </w:r>
    </w:p>
    <w:p w:rsidR="0087430D" w:rsidRDefault="00354512" w:rsidP="002A60F5">
      <w:pPr>
        <w:pStyle w:val="BodyText"/>
      </w:pPr>
      <w:r>
        <w:t xml:space="preserve">A </w:t>
      </w:r>
      <w:proofErr w:type="spellStart"/>
      <w:r>
        <w:t>VE</w:t>
      </w:r>
      <w:proofErr w:type="spellEnd"/>
      <w:r>
        <w:t xml:space="preserve"> exercise would include a detailed consideration of the elements of the current Design Base (i.e. the basis of the current estimate), its derivation and bases. It might also be useful to </w:t>
      </w:r>
      <w:r w:rsidR="00971E28">
        <w:t>posit</w:t>
      </w:r>
      <w:r>
        <w:t xml:space="preserve"> a “Minimalist Base Case” that would be intended to bookend the lowest effort scope that could </w:t>
      </w:r>
      <w:r w:rsidR="00971E28">
        <w:t xml:space="preserve">potentially </w:t>
      </w:r>
      <w:r>
        <w:t xml:space="preserve">satisfy the key </w:t>
      </w:r>
      <w:r w:rsidR="00F8626D">
        <w:t>tenet</w:t>
      </w:r>
      <w:r>
        <w:t>s of Option 4 (adjusted as may be necessary). The Partners could then review the associated performance compromises</w:t>
      </w:r>
      <w:r w:rsidR="00971E28">
        <w:t>,</w:t>
      </w:r>
      <w:r>
        <w:t xml:space="preserve"> and incremental risks and uncertainties to determine if this Minimalist Base Case could be accepted, or where targeted supplements to this base might be required.</w:t>
      </w:r>
    </w:p>
    <w:p w:rsidR="00354512" w:rsidRDefault="00354512" w:rsidP="00744BD2">
      <w:pPr>
        <w:pStyle w:val="BodyText"/>
        <w:keepNext/>
      </w:pPr>
      <w:r>
        <w:lastRenderedPageBreak/>
        <w:t>An example of a Minimalist Base Case for Option 4 would be as follows:</w:t>
      </w:r>
    </w:p>
    <w:p w:rsidR="00354512" w:rsidRDefault="00354512" w:rsidP="00354512">
      <w:pPr>
        <w:pStyle w:val="bullet0"/>
      </w:pPr>
      <w:r>
        <w:t>No performance criteria applied to tailings and contaminated dam sands placed in the pit;</w:t>
      </w:r>
    </w:p>
    <w:p w:rsidR="00354512" w:rsidRDefault="00354512" w:rsidP="00354512">
      <w:pPr>
        <w:pStyle w:val="bullet0"/>
      </w:pPr>
      <w:r>
        <w:t>No requirement for tailings dewatering prior to relocation;</w:t>
      </w:r>
    </w:p>
    <w:p w:rsidR="00354512" w:rsidRDefault="00354512" w:rsidP="00354512">
      <w:pPr>
        <w:pStyle w:val="bullet0"/>
      </w:pPr>
      <w:r>
        <w:t>No relocation of waste rock (</w:t>
      </w:r>
      <w:proofErr w:type="spellStart"/>
      <w:r>
        <w:t>PAG</w:t>
      </w:r>
      <w:proofErr w:type="spellEnd"/>
      <w:r>
        <w:t xml:space="preserve"> or NAG) to the pit unless required to facilitate tails relocation and/or pit construction;</w:t>
      </w:r>
    </w:p>
    <w:p w:rsidR="00354512" w:rsidRDefault="00354512" w:rsidP="00354512">
      <w:pPr>
        <w:pStyle w:val="bullet0"/>
      </w:pPr>
      <w:r>
        <w:t>No requirement to maintain pit groundwater levels below the tailings (i.e. elimination of the waste rock bench);</w:t>
      </w:r>
    </w:p>
    <w:p w:rsidR="00354512" w:rsidRDefault="00354512" w:rsidP="00354512">
      <w:pPr>
        <w:pStyle w:val="bullet0"/>
      </w:pPr>
      <w:r>
        <w:t xml:space="preserve">No removal of tailings from creek beds outside the </w:t>
      </w:r>
      <w:proofErr w:type="spellStart"/>
      <w:r>
        <w:t>TSF</w:t>
      </w:r>
      <w:proofErr w:type="spellEnd"/>
      <w:r>
        <w:t xml:space="preserve"> footprint;</w:t>
      </w:r>
    </w:p>
    <w:p w:rsidR="00354512" w:rsidRDefault="00354512" w:rsidP="00354512">
      <w:pPr>
        <w:pStyle w:val="bullet0"/>
      </w:pPr>
      <w:r>
        <w:t>No performance criteria for the pit cover beyond a broad objective to provide a trafficable surface at some point in the future;</w:t>
      </w:r>
    </w:p>
    <w:p w:rsidR="00354512" w:rsidRDefault="00354512" w:rsidP="00354512">
      <w:pPr>
        <w:pStyle w:val="bullet0"/>
      </w:pPr>
      <w:r>
        <w:t xml:space="preserve">Surface reclamation limited to aesthetically driven </w:t>
      </w:r>
      <w:proofErr w:type="spellStart"/>
      <w:r>
        <w:t>recontouring</w:t>
      </w:r>
      <w:proofErr w:type="spellEnd"/>
      <w:r>
        <w:t xml:space="preserve"> of stockpiles and disturbed surfaces;</w:t>
      </w:r>
    </w:p>
    <w:p w:rsidR="00354512" w:rsidRDefault="00354512" w:rsidP="00354512">
      <w:pPr>
        <w:pStyle w:val="bullet0"/>
      </w:pPr>
      <w:r>
        <w:t xml:space="preserve">no </w:t>
      </w:r>
      <w:proofErr w:type="spellStart"/>
      <w:r>
        <w:t>revegetation</w:t>
      </w:r>
      <w:proofErr w:type="spellEnd"/>
      <w:r>
        <w:t xml:space="preserve"> of finished surfaces; and</w:t>
      </w:r>
    </w:p>
    <w:p w:rsidR="00354512" w:rsidRDefault="00B02BA4" w:rsidP="00354512">
      <w:pPr>
        <w:pStyle w:val="bullet0"/>
      </w:pPr>
      <w:r>
        <w:t>Downstream</w:t>
      </w:r>
      <w:r w:rsidR="00354512">
        <w:t xml:space="preserve"> surface water quality impacts assessed and managed via Adaptive Management.</w:t>
      </w:r>
    </w:p>
    <w:p w:rsidR="0087430D" w:rsidRDefault="00354512" w:rsidP="002A60F5">
      <w:pPr>
        <w:pStyle w:val="BodyText"/>
      </w:pPr>
      <w:r>
        <w:t xml:space="preserve">In essence, this approach involves defining and applying a basic method specification, acknowledging the associated uncertainties with respect to performance outcomes, </w:t>
      </w:r>
      <w:r w:rsidR="00971E28">
        <w:t>and committing to managing and/or mitigating</w:t>
      </w:r>
      <w:r w:rsidR="003D13CD">
        <w:t xml:space="preserve"> those outcomes via maintenance and Adaptive Management. Physically, the method specification limits the scope to relocating the tailings as expeditiously as possible and with a minimum of treatment and/or conditioning</w:t>
      </w:r>
      <w:r w:rsidR="00971E28">
        <w:t>,</w:t>
      </w:r>
      <w:r w:rsidR="003D13CD">
        <w:t xml:space="preserve"> covering those tails with an end dumped waste rock cover, physical stabilization of the </w:t>
      </w:r>
      <w:proofErr w:type="spellStart"/>
      <w:r w:rsidR="003D13CD">
        <w:t>TSF</w:t>
      </w:r>
      <w:proofErr w:type="spellEnd"/>
      <w:r w:rsidR="003D13CD">
        <w:t xml:space="preserve"> footprint, dismantling and onsite disposition of structures and minimal </w:t>
      </w:r>
      <w:proofErr w:type="spellStart"/>
      <w:r w:rsidR="003D13CD">
        <w:t>recontouring</w:t>
      </w:r>
      <w:proofErr w:type="spellEnd"/>
      <w:r w:rsidR="003D13CD">
        <w:t xml:space="preserve"> and </w:t>
      </w:r>
      <w:proofErr w:type="spellStart"/>
      <w:r w:rsidR="003D13CD">
        <w:t>regrading</w:t>
      </w:r>
      <w:proofErr w:type="spellEnd"/>
      <w:r w:rsidR="003D13CD">
        <w:t xml:space="preserve"> of the remaining disturbed landscape.</w:t>
      </w:r>
    </w:p>
    <w:p w:rsidR="003D13CD" w:rsidRDefault="003D13CD" w:rsidP="002A60F5">
      <w:pPr>
        <w:pStyle w:val="BodyText"/>
      </w:pPr>
      <w:r>
        <w:t xml:space="preserve">Adopting a Base Case like this clearly means accepting some adjustments and compromises in the key </w:t>
      </w:r>
      <w:r w:rsidR="00F8626D">
        <w:t>tenet</w:t>
      </w:r>
      <w:r>
        <w:t xml:space="preserve">s of Option 4, particularly related to downstream water quality and the stability and utility of final pit landscapes. Developing this Base Case would require some re-focusing of subsequent design development efforts to better understand </w:t>
      </w:r>
      <w:r w:rsidR="00971E28">
        <w:t xml:space="preserve">the </w:t>
      </w:r>
      <w:r>
        <w:t xml:space="preserve">base performance outcomes that </w:t>
      </w:r>
      <w:r w:rsidR="00971E28">
        <w:t>must</w:t>
      </w:r>
      <w:r>
        <w:t xml:space="preserve"> be managed via maintenance and/or Adaptive Management. For example, given the compromises to downstream surface water quality that would likely be associated with this minimalist Base Case, it will be that much more important to understand if the worst case water quality outcomes are within the </w:t>
      </w:r>
      <w:proofErr w:type="spellStart"/>
      <w:r>
        <w:t>mitigative</w:t>
      </w:r>
      <w:proofErr w:type="spellEnd"/>
      <w:r>
        <w:t xml:space="preserve"> capabilities of the available Adaptive Management measures and technologies.</w:t>
      </w:r>
    </w:p>
    <w:p w:rsidR="00354512" w:rsidRPr="00BA4F53" w:rsidRDefault="00354512" w:rsidP="002A60F5">
      <w:pPr>
        <w:pStyle w:val="BodyText"/>
      </w:pPr>
    </w:p>
    <w:p w:rsidR="009D181E" w:rsidRPr="00BA4F53" w:rsidRDefault="009D181E">
      <w:pPr>
        <w:jc w:val="left"/>
        <w:rPr>
          <w:rFonts w:cs="Arial"/>
          <w:szCs w:val="22"/>
        </w:rPr>
      </w:pPr>
      <w:r w:rsidRPr="00BA4F53">
        <w:br w:type="page"/>
      </w:r>
    </w:p>
    <w:p w:rsidR="008F0302" w:rsidRPr="00BA4F53" w:rsidRDefault="00C360C4" w:rsidP="002A60F5">
      <w:pPr>
        <w:pStyle w:val="Heading1"/>
      </w:pPr>
      <w:bookmarkStart w:id="69" w:name="_Toc404336678"/>
      <w:r w:rsidRPr="00BA4F53">
        <w:lastRenderedPageBreak/>
        <w:t>Limitations and Closure</w:t>
      </w:r>
      <w:bookmarkEnd w:id="69"/>
    </w:p>
    <w:p w:rsidR="00477748" w:rsidRPr="00BA4F53" w:rsidRDefault="00477748" w:rsidP="00477748">
      <w:pPr>
        <w:pStyle w:val="BodyText"/>
      </w:pPr>
      <w:r w:rsidRPr="00BA4F53">
        <w:t>This report was prepared exclusively for</w:t>
      </w:r>
      <w:bookmarkStart w:id="70" w:name="client_name"/>
      <w:r w:rsidRPr="00BA4F53">
        <w:t xml:space="preserve"> </w:t>
      </w:r>
      <w:bookmarkStart w:id="71" w:name="bkconame"/>
      <w:bookmarkEnd w:id="71"/>
      <w:r w:rsidRPr="00BA4F53">
        <w:t xml:space="preserve">Assessment and Abandoned Mines, Energy Mines and Resources </w:t>
      </w:r>
      <w:bookmarkEnd w:id="70"/>
      <w:r w:rsidRPr="00BA4F53">
        <w:t xml:space="preserve">by AMEC Environment &amp; Infrastructure, a wholly owned subsidiary of AMEC Americas Limited. The quality of information, conclusions and estimates contained herein is consistent with the level of effort involved in AMEC services and based on: </w:t>
      </w:r>
      <w:proofErr w:type="spellStart"/>
      <w:r w:rsidRPr="00BA4F53">
        <w:t>i</w:t>
      </w:r>
      <w:proofErr w:type="spellEnd"/>
      <w:r w:rsidRPr="00BA4F53">
        <w:t>) information available at the time of preparation, ii) data supplied by outside sources, and iii) the assumptions, conditions and qualifications set forth in this report. This report is intended to be used by Assessment and Abandoned Mines, Energy Mines and Resources</w:t>
      </w:r>
      <w:bookmarkStart w:id="72" w:name="bkconame2"/>
      <w:bookmarkEnd w:id="72"/>
      <w:r w:rsidRPr="00BA4F53">
        <w:t xml:space="preserve"> only, subject to the terms and conditions of its contract with AMEC. Any other use of, or reliance on, this report by any third party is at that party’s sole risk.</w:t>
      </w:r>
    </w:p>
    <w:p w:rsidR="00477748" w:rsidRPr="00BA4F53" w:rsidRDefault="00477748" w:rsidP="00477748">
      <w:pPr>
        <w:pStyle w:val="1TCNormal"/>
        <w:spacing w:before="0"/>
      </w:pPr>
    </w:p>
    <w:p w:rsidR="00477748" w:rsidRPr="00BA4F53" w:rsidRDefault="00477748" w:rsidP="00477748">
      <w:pPr>
        <w:spacing w:line="264" w:lineRule="auto"/>
        <w:jc w:val="left"/>
      </w:pPr>
      <w:r w:rsidRPr="00BA4F53">
        <w:t>Yours truly,</w:t>
      </w:r>
    </w:p>
    <w:p w:rsidR="00477748" w:rsidRPr="00BA4F53" w:rsidRDefault="00477748" w:rsidP="00477748">
      <w:pPr>
        <w:pStyle w:val="BodyText"/>
        <w:tabs>
          <w:tab w:val="left" w:pos="5040"/>
        </w:tabs>
        <w:spacing w:before="0"/>
        <w:ind w:left="0"/>
        <w:rPr>
          <w:rFonts w:cs="Times New Roman"/>
        </w:rPr>
      </w:pPr>
      <w:r w:rsidRPr="00BA4F53">
        <w:rPr>
          <w:rFonts w:cs="Times New Roman"/>
          <w:b/>
        </w:rPr>
        <w:t>AMEC Environment &amp; Infrastructure</w:t>
      </w:r>
      <w:r w:rsidRPr="00BA4F53">
        <w:rPr>
          <w:rFonts w:cs="Times New Roman"/>
        </w:rPr>
        <w:tab/>
        <w:t>Reviewed by:</w:t>
      </w:r>
    </w:p>
    <w:p w:rsidR="00477748" w:rsidRPr="00BA4F53" w:rsidRDefault="00477748" w:rsidP="00477748">
      <w:pPr>
        <w:spacing w:line="264" w:lineRule="auto"/>
        <w:jc w:val="left"/>
      </w:pPr>
    </w:p>
    <w:p w:rsidR="00DA1AC9" w:rsidRDefault="00DA1AC9" w:rsidP="00477748">
      <w:pPr>
        <w:spacing w:line="264" w:lineRule="auto"/>
        <w:jc w:val="left"/>
      </w:pPr>
    </w:p>
    <w:p w:rsidR="00DA1AC9" w:rsidRDefault="00DA1AC9" w:rsidP="00477748">
      <w:pPr>
        <w:spacing w:line="264" w:lineRule="auto"/>
        <w:jc w:val="left"/>
      </w:pPr>
    </w:p>
    <w:p w:rsidR="00DA1AC9" w:rsidRDefault="00DA1AC9" w:rsidP="00477748">
      <w:pPr>
        <w:spacing w:line="264" w:lineRule="auto"/>
        <w:jc w:val="left"/>
      </w:pPr>
    </w:p>
    <w:p w:rsidR="00477748" w:rsidRPr="00BA4F53" w:rsidRDefault="00477748" w:rsidP="00477748">
      <w:pPr>
        <w:spacing w:line="264" w:lineRule="auto"/>
        <w:jc w:val="left"/>
      </w:pPr>
      <w:bookmarkStart w:id="73" w:name="_GoBack"/>
      <w:bookmarkEnd w:id="73"/>
    </w:p>
    <w:p w:rsidR="00477748" w:rsidRPr="00BA4F53" w:rsidRDefault="00477748" w:rsidP="00477748">
      <w:pPr>
        <w:spacing w:line="264" w:lineRule="auto"/>
        <w:jc w:val="left"/>
      </w:pPr>
    </w:p>
    <w:p w:rsidR="00477748" w:rsidRPr="00BA4F53" w:rsidRDefault="00477748" w:rsidP="00477748">
      <w:pPr>
        <w:spacing w:line="264" w:lineRule="auto"/>
        <w:jc w:val="left"/>
      </w:pPr>
    </w:p>
    <w:p w:rsidR="00477748" w:rsidRPr="00BA4F53" w:rsidRDefault="00477748" w:rsidP="00477748">
      <w:pPr>
        <w:spacing w:line="264" w:lineRule="auto"/>
        <w:jc w:val="left"/>
      </w:pPr>
    </w:p>
    <w:p w:rsidR="00477748" w:rsidRPr="00BA4F53" w:rsidRDefault="00477748" w:rsidP="00477748">
      <w:pPr>
        <w:tabs>
          <w:tab w:val="left" w:pos="5040"/>
        </w:tabs>
        <w:spacing w:line="264" w:lineRule="auto"/>
        <w:jc w:val="left"/>
      </w:pPr>
      <w:r w:rsidRPr="00BA4F53">
        <w:t>R. Brian Geddes, P.Eng.</w:t>
      </w:r>
      <w:r w:rsidRPr="00BA4F53">
        <w:tab/>
        <w:t>Christine M. Peters, P.Eng.</w:t>
      </w:r>
    </w:p>
    <w:p w:rsidR="00477748" w:rsidRPr="00BA4F53" w:rsidRDefault="00477748" w:rsidP="00477748">
      <w:pPr>
        <w:tabs>
          <w:tab w:val="left" w:pos="5040"/>
        </w:tabs>
        <w:spacing w:line="264" w:lineRule="auto"/>
        <w:jc w:val="left"/>
      </w:pPr>
      <w:r w:rsidRPr="00BA4F53">
        <w:t>Senior Design Lead</w:t>
      </w:r>
      <w:r w:rsidRPr="00BA4F53">
        <w:tab/>
        <w:t xml:space="preserve">Project Manager </w:t>
      </w:r>
    </w:p>
    <w:p w:rsidR="00477748" w:rsidRPr="00BA4F53" w:rsidRDefault="00477748" w:rsidP="00477748">
      <w:pPr>
        <w:tabs>
          <w:tab w:val="left" w:pos="5040"/>
        </w:tabs>
        <w:spacing w:line="264" w:lineRule="auto"/>
        <w:jc w:val="left"/>
      </w:pPr>
    </w:p>
    <w:p w:rsidR="00477748" w:rsidRPr="00BA4F53" w:rsidRDefault="00477748" w:rsidP="00477748">
      <w:pPr>
        <w:tabs>
          <w:tab w:val="left" w:pos="5040"/>
        </w:tabs>
        <w:spacing w:line="264" w:lineRule="auto"/>
        <w:jc w:val="left"/>
      </w:pPr>
    </w:p>
    <w:p w:rsidR="00477748" w:rsidRPr="00BA4F53" w:rsidRDefault="00477748" w:rsidP="00477748">
      <w:pPr>
        <w:tabs>
          <w:tab w:val="left" w:pos="5040"/>
        </w:tabs>
        <w:spacing w:line="264" w:lineRule="auto"/>
        <w:jc w:val="left"/>
      </w:pPr>
    </w:p>
    <w:p w:rsidR="00477748" w:rsidRPr="00BA4F53" w:rsidRDefault="00477748" w:rsidP="00477748">
      <w:pPr>
        <w:tabs>
          <w:tab w:val="left" w:pos="5040"/>
        </w:tabs>
        <w:spacing w:line="264" w:lineRule="auto"/>
        <w:jc w:val="left"/>
      </w:pPr>
    </w:p>
    <w:p w:rsidR="00477748" w:rsidRPr="00BA4F53" w:rsidRDefault="00477748" w:rsidP="00477748">
      <w:pPr>
        <w:tabs>
          <w:tab w:val="left" w:pos="5040"/>
        </w:tabs>
        <w:spacing w:line="264" w:lineRule="auto"/>
        <w:jc w:val="left"/>
      </w:pPr>
    </w:p>
    <w:p w:rsidR="00477748" w:rsidRPr="00BA4F53" w:rsidRDefault="00477748" w:rsidP="00477748">
      <w:pPr>
        <w:tabs>
          <w:tab w:val="left" w:pos="5040"/>
        </w:tabs>
        <w:spacing w:line="264" w:lineRule="auto"/>
        <w:jc w:val="left"/>
      </w:pPr>
      <w:r w:rsidRPr="00BA4F53">
        <w:t>Serge N. Chevrier</w:t>
      </w:r>
    </w:p>
    <w:p w:rsidR="00477748" w:rsidRPr="00BA4F53" w:rsidRDefault="00477748" w:rsidP="00477748">
      <w:pPr>
        <w:tabs>
          <w:tab w:val="left" w:pos="5040"/>
        </w:tabs>
        <w:spacing w:line="264" w:lineRule="auto"/>
        <w:jc w:val="left"/>
      </w:pPr>
      <w:r w:rsidRPr="00BA4F53">
        <w:t>Estimating Lead</w:t>
      </w:r>
    </w:p>
    <w:p w:rsidR="00477748" w:rsidRPr="00BA4F53" w:rsidRDefault="00477748" w:rsidP="00477748">
      <w:pPr>
        <w:tabs>
          <w:tab w:val="left" w:pos="5040"/>
        </w:tabs>
        <w:spacing w:line="264" w:lineRule="auto"/>
        <w:jc w:val="left"/>
      </w:pPr>
    </w:p>
    <w:p w:rsidR="005D2CAB" w:rsidRPr="00BA4F53" w:rsidRDefault="005D2CAB" w:rsidP="00477748">
      <w:pPr>
        <w:tabs>
          <w:tab w:val="left" w:pos="5040"/>
        </w:tabs>
        <w:spacing w:line="264" w:lineRule="auto"/>
        <w:jc w:val="left"/>
      </w:pPr>
      <w:r w:rsidRPr="00BA4F53">
        <w:br w:type="page"/>
      </w:r>
    </w:p>
    <w:p w:rsidR="00B40EF6" w:rsidRPr="00BA4F53" w:rsidRDefault="00C96165" w:rsidP="002A60F5">
      <w:pPr>
        <w:pStyle w:val="Heading1"/>
      </w:pPr>
      <w:bookmarkStart w:id="74" w:name="_Toc404336679"/>
      <w:r w:rsidRPr="00BA4F53">
        <w:lastRenderedPageBreak/>
        <w:t>References</w:t>
      </w:r>
      <w:bookmarkEnd w:id="74"/>
    </w:p>
    <w:p w:rsidR="00A2763D" w:rsidRPr="00BA4F53" w:rsidRDefault="00A2763D" w:rsidP="00A2763D">
      <w:pPr>
        <w:spacing w:line="276" w:lineRule="auto"/>
        <w:jc w:val="left"/>
      </w:pPr>
      <w:r w:rsidRPr="00BA4F53">
        <w:t xml:space="preserve">AECOM (2009). </w:t>
      </w:r>
      <w:r w:rsidRPr="00BA4F53">
        <w:rPr>
          <w:i/>
        </w:rPr>
        <w:t>Mount Nansen Mine, Water Treatment Study</w:t>
      </w:r>
      <w:r w:rsidRPr="00BA4F53">
        <w:t>. Prepared for Government of Yukon - Energy, Mines and Resources.</w:t>
      </w:r>
    </w:p>
    <w:p w:rsidR="00A2763D" w:rsidRPr="00BA4F53" w:rsidRDefault="00A2763D" w:rsidP="00A2763D">
      <w:pPr>
        <w:spacing w:line="276" w:lineRule="auto"/>
        <w:jc w:val="left"/>
      </w:pPr>
    </w:p>
    <w:p w:rsidR="00A2763D" w:rsidRPr="00BA4F53" w:rsidRDefault="00A2763D" w:rsidP="00A2763D">
      <w:pPr>
        <w:spacing w:line="276" w:lineRule="auto"/>
        <w:jc w:val="left"/>
        <w:rPr>
          <w:szCs w:val="22"/>
        </w:rPr>
      </w:pPr>
      <w:r w:rsidRPr="00BA4F53">
        <w:t xml:space="preserve">AECOM (2010). </w:t>
      </w:r>
      <w:r w:rsidRPr="00BA4F53">
        <w:rPr>
          <w:i/>
        </w:rPr>
        <w:t xml:space="preserve">Geotechnical Assessment and Costing of the Mt. Nansen Mine Closure Alternatives. </w:t>
      </w:r>
      <w:r w:rsidRPr="00BA4F53">
        <w:rPr>
          <w:szCs w:val="22"/>
        </w:rPr>
        <w:t>Submitted to Yukon Government, Assessment and Abandoned Mines Branch.</w:t>
      </w:r>
    </w:p>
    <w:p w:rsidR="00A2763D" w:rsidRPr="00BA4F53" w:rsidRDefault="00A2763D" w:rsidP="00A2763D">
      <w:pPr>
        <w:spacing w:line="276" w:lineRule="auto"/>
        <w:jc w:val="left"/>
        <w:rPr>
          <w:szCs w:val="22"/>
        </w:rPr>
      </w:pPr>
    </w:p>
    <w:p w:rsidR="00B40EF6" w:rsidRPr="00BA4F53" w:rsidRDefault="00A2763D" w:rsidP="00B40EF6">
      <w:pPr>
        <w:spacing w:line="276" w:lineRule="auto"/>
        <w:jc w:val="left"/>
        <w:rPr>
          <w:szCs w:val="22"/>
        </w:rPr>
      </w:pPr>
      <w:r w:rsidRPr="00BA4F53">
        <w:rPr>
          <w:szCs w:val="22"/>
        </w:rPr>
        <w:t xml:space="preserve">AECOM (2011). </w:t>
      </w:r>
      <w:r w:rsidRPr="00BA4F53">
        <w:rPr>
          <w:i/>
          <w:szCs w:val="22"/>
        </w:rPr>
        <w:t xml:space="preserve">Correspondence to Assessment and Abandoned Mines Branch, Yukon Government, re: Summary of Estimated Closure Costs, Mt. Nansen Mine Site. </w:t>
      </w:r>
      <w:r w:rsidRPr="00BA4F53">
        <w:rPr>
          <w:szCs w:val="22"/>
        </w:rPr>
        <w:t>May 13, 2011. Project No.: 60159089 (402).</w:t>
      </w:r>
    </w:p>
    <w:p w:rsidR="00B40EF6" w:rsidRPr="00BA4F53" w:rsidRDefault="00B40EF6" w:rsidP="00B40EF6">
      <w:pPr>
        <w:spacing w:line="276" w:lineRule="auto"/>
        <w:jc w:val="left"/>
        <w:rPr>
          <w:szCs w:val="22"/>
        </w:rPr>
      </w:pPr>
    </w:p>
    <w:p w:rsidR="00A2763D" w:rsidRPr="00BA4F53" w:rsidRDefault="00A2763D" w:rsidP="00B40EF6">
      <w:pPr>
        <w:spacing w:line="276" w:lineRule="auto"/>
        <w:jc w:val="left"/>
        <w:rPr>
          <w:szCs w:val="22"/>
        </w:rPr>
      </w:pPr>
      <w:r w:rsidRPr="00BA4F53">
        <w:rPr>
          <w:szCs w:val="22"/>
        </w:rPr>
        <w:t xml:space="preserve">Altura Environmental Consulting (Altura) (2011). </w:t>
      </w:r>
      <w:r w:rsidRPr="00BA4F53">
        <w:rPr>
          <w:i/>
          <w:szCs w:val="22"/>
        </w:rPr>
        <w:t>Technical Memorandum to LORAX Environmental Services Ltd. re: Mount Nansen Mine Site - Provisional Cost Estimates for Water Quality Mitigation - Final Draft</w:t>
      </w:r>
      <w:r w:rsidRPr="00BA4F53">
        <w:rPr>
          <w:szCs w:val="22"/>
        </w:rPr>
        <w:t>. May 13, 2011.</w:t>
      </w:r>
    </w:p>
    <w:p w:rsidR="00A2763D" w:rsidRPr="00BA4F53" w:rsidRDefault="00A2763D" w:rsidP="00252291">
      <w:pPr>
        <w:spacing w:line="276" w:lineRule="auto"/>
        <w:jc w:val="left"/>
        <w:rPr>
          <w:szCs w:val="22"/>
        </w:rPr>
      </w:pPr>
    </w:p>
    <w:p w:rsidR="00A2763D" w:rsidRPr="00BA4F53" w:rsidRDefault="00A2763D" w:rsidP="00252291">
      <w:pPr>
        <w:spacing w:line="276" w:lineRule="auto"/>
        <w:jc w:val="left"/>
        <w:rPr>
          <w:szCs w:val="22"/>
        </w:rPr>
      </w:pPr>
      <w:r w:rsidRPr="00BA4F53">
        <w:rPr>
          <w:szCs w:val="22"/>
        </w:rPr>
        <w:t xml:space="preserve">Altura Environmental Consulting (Altura) (2010). </w:t>
      </w:r>
      <w:r w:rsidRPr="00BA4F53">
        <w:rPr>
          <w:i/>
          <w:szCs w:val="22"/>
        </w:rPr>
        <w:t>Mount Nansen Mine Site, Yukon, Common Element and Supplemental Cost Estimate for Conceptual Closure Planning</w:t>
      </w:r>
      <w:r w:rsidRPr="00BA4F53">
        <w:rPr>
          <w:szCs w:val="22"/>
        </w:rPr>
        <w:t>. Prepared for LORAX Environmental Services Ltd.</w:t>
      </w:r>
    </w:p>
    <w:p w:rsidR="00A2763D" w:rsidRPr="00BA4F53" w:rsidRDefault="00A2763D" w:rsidP="00252291">
      <w:pPr>
        <w:spacing w:line="276" w:lineRule="auto"/>
        <w:jc w:val="left"/>
        <w:rPr>
          <w:szCs w:val="22"/>
        </w:rPr>
      </w:pPr>
    </w:p>
    <w:p w:rsidR="00B40EF6" w:rsidRPr="00BA4F53" w:rsidRDefault="00B40EF6" w:rsidP="00B40EF6">
      <w:pPr>
        <w:spacing w:line="276" w:lineRule="auto"/>
        <w:jc w:val="left"/>
        <w:rPr>
          <w:szCs w:val="22"/>
        </w:rPr>
      </w:pPr>
      <w:r w:rsidRPr="00BA4F53">
        <w:t xml:space="preserve">AMEC Environment &amp; Infrastructure (AMEC) (2014). </w:t>
      </w:r>
      <w:r w:rsidRPr="00BA4F53">
        <w:rPr>
          <w:i/>
          <w:szCs w:val="22"/>
        </w:rPr>
        <w:t>Mount Nansen Remediation Project</w:t>
      </w:r>
      <w:r w:rsidR="006A3763" w:rsidRPr="00BA4F53">
        <w:rPr>
          <w:i/>
          <w:szCs w:val="22"/>
        </w:rPr>
        <w:t>,</w:t>
      </w:r>
      <w:r w:rsidRPr="00BA4F53">
        <w:rPr>
          <w:i/>
          <w:szCs w:val="22"/>
        </w:rPr>
        <w:t xml:space="preserve"> 30% Design Phase</w:t>
      </w:r>
      <w:r w:rsidR="00A2763D" w:rsidRPr="00BA4F53">
        <w:rPr>
          <w:i/>
          <w:szCs w:val="22"/>
        </w:rPr>
        <w:t xml:space="preserve"> Cost Estimate</w:t>
      </w:r>
      <w:r w:rsidRPr="00BA4F53">
        <w:rPr>
          <w:i/>
          <w:szCs w:val="22"/>
        </w:rPr>
        <w:t>.</w:t>
      </w:r>
      <w:r w:rsidRPr="00BA4F53">
        <w:rPr>
          <w:szCs w:val="22"/>
        </w:rPr>
        <w:t xml:space="preserve"> Submitted to Assessment and Abandoned Mines Branch, Department of Energy, Mines and Resources, Government of Yukon.</w:t>
      </w:r>
    </w:p>
    <w:p w:rsidR="00583AA7" w:rsidRPr="00BA4F53" w:rsidRDefault="00583AA7" w:rsidP="00B40EF6">
      <w:pPr>
        <w:spacing w:line="276" w:lineRule="auto"/>
        <w:jc w:val="left"/>
        <w:rPr>
          <w:szCs w:val="22"/>
        </w:rPr>
      </w:pPr>
    </w:p>
    <w:p w:rsidR="00AE597A" w:rsidRPr="00BA4F53" w:rsidRDefault="00AE597A" w:rsidP="00AE597A">
      <w:pPr>
        <w:spacing w:line="276" w:lineRule="auto"/>
        <w:jc w:val="left"/>
        <w:rPr>
          <w:szCs w:val="22"/>
        </w:rPr>
      </w:pPr>
      <w:r w:rsidRPr="00BA4F53">
        <w:t>AMEC Environment &amp; Infrastructure (AMEC) (2014</w:t>
      </w:r>
      <w:r w:rsidR="00477748" w:rsidRPr="00BA4F53">
        <w:t>a</w:t>
      </w:r>
      <w:r w:rsidRPr="00BA4F53">
        <w:t xml:space="preserve">). </w:t>
      </w:r>
      <w:r w:rsidRPr="00BA4F53">
        <w:rPr>
          <w:i/>
          <w:szCs w:val="22"/>
        </w:rPr>
        <w:t>Mount Nansen Remediation Project, 2014 Site Investigation Report and Site Characterization Update.</w:t>
      </w:r>
      <w:r w:rsidRPr="00BA4F53">
        <w:rPr>
          <w:szCs w:val="22"/>
        </w:rPr>
        <w:t xml:space="preserve"> Submitted to Assessment and Abandoned Mines Branch, Department of Energy, Mines and Resources, Government of Yukon.</w:t>
      </w:r>
    </w:p>
    <w:p w:rsidR="00AE597A" w:rsidRPr="00BA4F53" w:rsidRDefault="00AE597A" w:rsidP="00AE597A">
      <w:pPr>
        <w:spacing w:line="276" w:lineRule="auto"/>
        <w:jc w:val="left"/>
        <w:rPr>
          <w:szCs w:val="22"/>
        </w:rPr>
      </w:pPr>
    </w:p>
    <w:p w:rsidR="00A2763D" w:rsidRDefault="00A2763D" w:rsidP="00B40EF6">
      <w:pPr>
        <w:spacing w:line="276" w:lineRule="auto"/>
        <w:jc w:val="left"/>
        <w:rPr>
          <w:szCs w:val="22"/>
        </w:rPr>
      </w:pPr>
      <w:r w:rsidRPr="00BA4F53">
        <w:rPr>
          <w:szCs w:val="22"/>
        </w:rPr>
        <w:t xml:space="preserve">Golder Associates (Golder) (2010). </w:t>
      </w:r>
      <w:r w:rsidRPr="00BA4F53">
        <w:rPr>
          <w:i/>
          <w:szCs w:val="22"/>
        </w:rPr>
        <w:t>Technical Memorandum to LORAX Environmental Services Ltd. re: Conceptual Assessment of Law Infiltration Cover Options for the Mt. Nansen Project, Yukon.</w:t>
      </w:r>
      <w:r w:rsidRPr="00BA4F53">
        <w:rPr>
          <w:szCs w:val="22"/>
        </w:rPr>
        <w:t xml:space="preserve"> </w:t>
      </w:r>
      <w:r w:rsidRPr="00BA4F53">
        <w:rPr>
          <w:szCs w:val="22"/>
        </w:rPr>
        <w:br/>
        <w:t>October 1, 2010. Project No.: 10-1427-0018.</w:t>
      </w:r>
    </w:p>
    <w:p w:rsidR="005E0E81" w:rsidRDefault="005E0E81" w:rsidP="00B40EF6">
      <w:pPr>
        <w:spacing w:line="276" w:lineRule="auto"/>
        <w:jc w:val="left"/>
        <w:rPr>
          <w:szCs w:val="22"/>
        </w:rPr>
      </w:pPr>
    </w:p>
    <w:p w:rsidR="005E0E81" w:rsidRPr="005E0E81" w:rsidRDefault="005E0E81" w:rsidP="00B40EF6">
      <w:pPr>
        <w:spacing w:line="276" w:lineRule="auto"/>
        <w:jc w:val="left"/>
        <w:rPr>
          <w:szCs w:val="22"/>
        </w:rPr>
      </w:pPr>
      <w:r>
        <w:rPr>
          <w:szCs w:val="22"/>
        </w:rPr>
        <w:t xml:space="preserve">LORAX Environmental Services Ltd. (LORAX) (2011). </w:t>
      </w:r>
      <w:r>
        <w:rPr>
          <w:i/>
          <w:szCs w:val="22"/>
        </w:rPr>
        <w:t>Mount Nansen Options for Closure</w:t>
      </w:r>
      <w:r>
        <w:rPr>
          <w:szCs w:val="22"/>
        </w:rPr>
        <w:t xml:space="preserve">. Prepared for </w:t>
      </w:r>
      <w:r w:rsidRPr="00BA4F53">
        <w:rPr>
          <w:szCs w:val="22"/>
        </w:rPr>
        <w:t>Assessment and Abandoned Mines Branch, Department of Energy, Mines and Resources, Government of Yukon</w:t>
      </w:r>
      <w:r>
        <w:rPr>
          <w:szCs w:val="22"/>
        </w:rPr>
        <w:t>.</w:t>
      </w:r>
    </w:p>
    <w:p w:rsidR="00477748" w:rsidRPr="00BA4F53" w:rsidRDefault="00477748" w:rsidP="00B40EF6">
      <w:pPr>
        <w:spacing w:line="276" w:lineRule="auto"/>
        <w:jc w:val="left"/>
        <w:rPr>
          <w:szCs w:val="22"/>
        </w:rPr>
      </w:pPr>
    </w:p>
    <w:p w:rsidR="00477748" w:rsidRPr="00BA4F53" w:rsidRDefault="00477748" w:rsidP="00B40EF6">
      <w:pPr>
        <w:spacing w:line="276" w:lineRule="auto"/>
        <w:jc w:val="left"/>
        <w:rPr>
          <w:szCs w:val="22"/>
        </w:rPr>
      </w:pPr>
      <w:r w:rsidRPr="00BA4F53">
        <w:rPr>
          <w:szCs w:val="22"/>
        </w:rPr>
        <w:t xml:space="preserve">SAVE International (2007). </w:t>
      </w:r>
      <w:r w:rsidRPr="00BA4F53">
        <w:rPr>
          <w:i/>
          <w:szCs w:val="22"/>
        </w:rPr>
        <w:t>Value Methodology Standard and Body of Knowledge</w:t>
      </w:r>
      <w:r w:rsidRPr="00BA4F53">
        <w:rPr>
          <w:szCs w:val="22"/>
        </w:rPr>
        <w:t>. SAVE International Value Standard, 2007 edition.</w:t>
      </w:r>
    </w:p>
    <w:p w:rsidR="00583AA7" w:rsidRPr="00BA4F53" w:rsidRDefault="00583AA7" w:rsidP="00B40EF6">
      <w:pPr>
        <w:spacing w:line="276" w:lineRule="auto"/>
        <w:jc w:val="left"/>
        <w:rPr>
          <w:szCs w:val="22"/>
        </w:rPr>
      </w:pPr>
    </w:p>
    <w:p w:rsidR="00B40EF6" w:rsidRPr="00BA4F53" w:rsidRDefault="00B40EF6" w:rsidP="00DE2545">
      <w:pPr>
        <w:spacing w:line="276" w:lineRule="auto"/>
        <w:jc w:val="left"/>
      </w:pPr>
    </w:p>
    <w:p w:rsidR="00D151FE" w:rsidRPr="00BA4F53" w:rsidRDefault="00D151FE" w:rsidP="000E26CA">
      <w:pPr>
        <w:pStyle w:val="BodyText"/>
        <w:sectPr w:rsidR="00D151FE" w:rsidRPr="00BA4F53" w:rsidSect="00C93480">
          <w:footerReference w:type="default" r:id="rId25"/>
          <w:pgSz w:w="12240" w:h="15840" w:code="1"/>
          <w:pgMar w:top="720" w:right="1296" w:bottom="720" w:left="1296" w:header="720" w:footer="720" w:gutter="0"/>
          <w:cols w:space="720"/>
        </w:sectPr>
      </w:pPr>
    </w:p>
    <w:p w:rsidR="00C823E8" w:rsidRPr="00BA4F53" w:rsidRDefault="003C1E51" w:rsidP="000E2AA1">
      <w:pPr>
        <w:pStyle w:val="AppendixHeading"/>
      </w:pPr>
      <w:r w:rsidRPr="00BA4F53">
        <w:lastRenderedPageBreak/>
        <w:t xml:space="preserve">Appendix </w:t>
      </w:r>
      <w:r w:rsidR="00BA4F53" w:rsidRPr="00BA4F53">
        <w:t>2</w:t>
      </w:r>
      <w:r w:rsidR="000D02DE" w:rsidRPr="00BA4F53">
        <w:t>A</w:t>
      </w:r>
      <w:r w:rsidR="002200B9" w:rsidRPr="00BA4F53">
        <w:t xml:space="preserve"> –</w:t>
      </w:r>
      <w:r w:rsidR="00C96165" w:rsidRPr="00BA4F53">
        <w:t xml:space="preserve"> </w:t>
      </w:r>
      <w:r w:rsidR="00BA4F53" w:rsidRPr="00BA4F53">
        <w:t>Detailed Cost Reconciliation</w:t>
      </w:r>
      <w:r w:rsidR="00E97128" w:rsidRPr="00BA4F53">
        <w:t xml:space="preserve"> Worksheets</w:t>
      </w:r>
      <w:r w:rsidR="00C823E8" w:rsidRPr="00BA4F53">
        <w:br w:type="page"/>
      </w:r>
    </w:p>
    <w:p w:rsidR="008A6FDA" w:rsidRDefault="00C96165" w:rsidP="008A6FDA">
      <w:pPr>
        <w:pStyle w:val="AppendixHeading"/>
        <w:rPr>
          <w:b w:val="0"/>
          <w:bCs w:val="0"/>
        </w:rPr>
      </w:pPr>
      <w:r w:rsidRPr="00BA4F53">
        <w:lastRenderedPageBreak/>
        <w:t xml:space="preserve">Appendix </w:t>
      </w:r>
      <w:r w:rsidR="00BA4F53" w:rsidRPr="00BA4F53">
        <w:t>2</w:t>
      </w:r>
      <w:r w:rsidRPr="00BA4F53">
        <w:t xml:space="preserve">B – </w:t>
      </w:r>
      <w:r w:rsidR="00BA4F53" w:rsidRPr="00BA4F53">
        <w:t>Detailed Quantity Breakdowns/Reconciliation</w:t>
      </w:r>
      <w:r w:rsidR="008A6FDA">
        <w:br w:type="page"/>
      </w:r>
    </w:p>
    <w:p w:rsidR="008D5951" w:rsidRPr="00BA4F53" w:rsidRDefault="008A6FDA" w:rsidP="00BA4F53">
      <w:pPr>
        <w:pStyle w:val="AppendixHeading"/>
      </w:pPr>
      <w:r>
        <w:lastRenderedPageBreak/>
        <w:t xml:space="preserve">Appendix 6A </w:t>
      </w:r>
      <w:r w:rsidRPr="00BA4F53">
        <w:t xml:space="preserve">– </w:t>
      </w:r>
      <w:r>
        <w:t>Cost Review Workshop Agenda and Presentation Slides</w:t>
      </w:r>
    </w:p>
    <w:sectPr w:rsidR="008D5951" w:rsidRPr="00BA4F53" w:rsidSect="00C823E8">
      <w:footerReference w:type="default" r:id="rId26"/>
      <w:pgSz w:w="12240" w:h="15840" w:code="1"/>
      <w:pgMar w:top="720" w:right="1296" w:bottom="720" w:left="1296" w:header="720" w:footer="720" w:gutter="0"/>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C9" w:rsidRDefault="00DA1AC9">
      <w:r>
        <w:separator/>
      </w:r>
    </w:p>
  </w:endnote>
  <w:endnote w:type="continuationSeparator" w:id="0">
    <w:p w:rsidR="00DA1AC9" w:rsidRDefault="00DA1AC9">
      <w:r>
        <w:continuationSeparator/>
      </w:r>
    </w:p>
  </w:endnote>
  <w:endnote w:type="continuationNotice" w:id="1">
    <w:p w:rsidR="00DA1AC9" w:rsidRDefault="00DA1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AB3568">
    <w:pPr>
      <w:pStyle w:val="Footer"/>
      <w:tabs>
        <w:tab w:val="clear" w:pos="9360"/>
        <w:tab w:val="right" w:pos="96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5C7D57">
      <w:rPr>
        <w:rStyle w:val="PageNumber"/>
        <w:rFonts w:cs="Arial"/>
        <w:noProof/>
        <w:sz w:val="16"/>
      </w:rPr>
      <w:t>ii</w:t>
    </w:r>
    <w:r w:rsidRPr="00887CC0">
      <w:rPr>
        <w:rStyle w:val="PageNumber"/>
        <w:rFonts w:cs="Arial"/>
        <w:sz w:val="16"/>
        <w:szCs w:val="16"/>
      </w:rPr>
      <w:fldChar w:fldCharType="end"/>
    </w:r>
  </w:p>
  <w:p w:rsidR="00DA1AC9" w:rsidRPr="00887CC0" w:rsidRDefault="00DA1AC9" w:rsidP="00AB3568">
    <w:pPr>
      <w:pStyle w:val="Footer"/>
      <w:jc w:val="left"/>
      <w:rPr>
        <w:rStyle w:val="PageNumber"/>
        <w:rFonts w:cs="Arial"/>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AB3568">
    <w:pPr>
      <w:pStyle w:val="Footer"/>
      <w:tabs>
        <w:tab w:val="clear" w:pos="9360"/>
        <w:tab w:val="right" w:pos="96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5C7D57">
      <w:rPr>
        <w:rStyle w:val="PageNumber"/>
        <w:rFonts w:cs="Arial"/>
        <w:noProof/>
        <w:sz w:val="16"/>
      </w:rPr>
      <w:t>15</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C93480">
    <w:pPr>
      <w:pStyle w:val="Footer"/>
      <w:tabs>
        <w:tab w:val="clear" w:pos="9360"/>
        <w:tab w:val="right" w:pos="132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5C7D57">
      <w:rPr>
        <w:rStyle w:val="PageNumber"/>
        <w:rFonts w:cs="Arial"/>
        <w:noProof/>
        <w:sz w:val="16"/>
      </w:rPr>
      <w:t>20</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AB3568">
    <w:pPr>
      <w:pStyle w:val="Footer"/>
      <w:tabs>
        <w:tab w:val="clear" w:pos="9360"/>
        <w:tab w:val="right" w:pos="96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D43F85">
      <w:rPr>
        <w:rStyle w:val="PageNumber"/>
        <w:rFonts w:cs="Arial"/>
        <w:noProof/>
        <w:sz w:val="16"/>
      </w:rPr>
      <w:t>30</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23018D">
    <w:pPr>
      <w:pStyle w:val="Footer"/>
      <w:tabs>
        <w:tab w:val="clear" w:pos="9360"/>
        <w:tab w:val="right" w:pos="2187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5C7D57">
      <w:rPr>
        <w:rStyle w:val="PageNumber"/>
        <w:rFonts w:cs="Arial"/>
        <w:noProof/>
        <w:sz w:val="16"/>
      </w:rPr>
      <w:t>31</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AB3568">
    <w:pPr>
      <w:pStyle w:val="Footer"/>
      <w:tabs>
        <w:tab w:val="clear" w:pos="9360"/>
        <w:tab w:val="right" w:pos="96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5C7D57">
      <w:rPr>
        <w:rStyle w:val="PageNumber"/>
        <w:rFonts w:cs="Arial"/>
        <w:noProof/>
        <w:sz w:val="16"/>
      </w:rPr>
      <w:t>32</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084665">
    <w:pPr>
      <w:pStyle w:val="Footer"/>
      <w:tabs>
        <w:tab w:val="clear" w:pos="9360"/>
        <w:tab w:val="right" w:pos="132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D43F85">
      <w:rPr>
        <w:rStyle w:val="PageNumber"/>
        <w:rFonts w:cs="Arial"/>
        <w:noProof/>
        <w:sz w:val="16"/>
      </w:rPr>
      <w:t>34</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AB3568">
    <w:pPr>
      <w:pStyle w:val="Footer"/>
      <w:tabs>
        <w:tab w:val="clear" w:pos="9360"/>
        <w:tab w:val="right" w:pos="96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t xml:space="preserve">Page </w:t>
    </w:r>
    <w:r w:rsidRPr="00887CC0">
      <w:rPr>
        <w:rStyle w:val="PageNumber"/>
        <w:rFonts w:cs="Arial"/>
        <w:sz w:val="16"/>
        <w:szCs w:val="16"/>
      </w:rPr>
      <w:fldChar w:fldCharType="begin"/>
    </w:r>
    <w:r w:rsidRPr="00887CC0">
      <w:rPr>
        <w:rStyle w:val="PageNumber"/>
        <w:rFonts w:cs="Arial"/>
        <w:sz w:val="16"/>
      </w:rPr>
      <w:instrText xml:space="preserve"> PAGE </w:instrText>
    </w:r>
    <w:r w:rsidRPr="00887CC0">
      <w:rPr>
        <w:rStyle w:val="PageNumber"/>
        <w:rFonts w:cs="Arial"/>
        <w:sz w:val="16"/>
        <w:szCs w:val="16"/>
      </w:rPr>
      <w:fldChar w:fldCharType="separate"/>
    </w:r>
    <w:r w:rsidR="00D43F85">
      <w:rPr>
        <w:rStyle w:val="PageNumber"/>
        <w:rFonts w:cs="Arial"/>
        <w:noProof/>
        <w:sz w:val="16"/>
      </w:rPr>
      <w:t>44</w:t>
    </w:r>
    <w:r w:rsidRPr="00887CC0">
      <w:rPr>
        <w:rStyle w:val="PageNumber"/>
        <w:rFonts w:cs="Arial"/>
        <w:sz w:val="16"/>
        <w:szCs w:val="16"/>
      </w:rPr>
      <w:fldChar w:fldCharType="end"/>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AB3568">
    <w:pPr>
      <w:pStyle w:val="Footer"/>
      <w:tabs>
        <w:tab w:val="clear" w:pos="9360"/>
        <w:tab w:val="right" w:pos="9630"/>
      </w:tabs>
      <w:spacing w:before="160"/>
      <w:jc w:val="left"/>
      <w:rPr>
        <w:rStyle w:val="PageNumber"/>
        <w:rFonts w:cs="Arial"/>
        <w:sz w:val="16"/>
      </w:rPr>
    </w:pPr>
    <w:r w:rsidRPr="00887CC0">
      <w:rPr>
        <w:rFonts w:ascii="Arial" w:hAnsi="Arial" w:cs="Arial"/>
        <w:sz w:val="16"/>
      </w:rPr>
      <w:t>AMEC File:</w:t>
    </w:r>
    <w:r w:rsidRPr="00887CC0">
      <w:rPr>
        <w:rFonts w:ascii="Arial" w:hAnsi="Arial" w:cs="Arial"/>
        <w:sz w:val="16"/>
        <w:szCs w:val="16"/>
      </w:rPr>
      <w:t xml:space="preserve"> </w:t>
    </w:r>
    <w:r>
      <w:rPr>
        <w:rFonts w:ascii="Arial" w:hAnsi="Arial" w:cs="Arial"/>
        <w:sz w:val="16"/>
        <w:szCs w:val="16"/>
      </w:rPr>
      <w:t>VM00605K.1.105</w:t>
    </w:r>
    <w:r w:rsidRPr="00887CC0">
      <w:rPr>
        <w:rFonts w:ascii="Arial" w:hAnsi="Arial" w:cs="Arial"/>
        <w:sz w:val="16"/>
      </w:rPr>
      <w:tab/>
    </w:r>
  </w:p>
  <w:p w:rsidR="00DA1AC9" w:rsidRPr="00887CC0" w:rsidRDefault="00DA1AC9" w:rsidP="000951B2">
    <w:pPr>
      <w:pStyle w:val="Footer"/>
      <w:jc w:val="left"/>
      <w:rPr>
        <w:rFonts w:ascii="Arial" w:hAnsi="Arial" w:cs="Arial"/>
        <w:snapToGrid w:val="0"/>
        <w:sz w:val="12"/>
      </w:rPr>
    </w:pPr>
    <w:r w:rsidRPr="00887CC0">
      <w:rPr>
        <w:rFonts w:ascii="Arial" w:hAnsi="Arial" w:cs="Arial"/>
        <w:snapToGrid w:val="0"/>
        <w:sz w:val="12"/>
      </w:rPr>
      <w:fldChar w:fldCharType="begin"/>
    </w:r>
    <w:r w:rsidRPr="00887CC0">
      <w:rPr>
        <w:rFonts w:ascii="Arial" w:hAnsi="Arial" w:cs="Arial"/>
        <w:snapToGrid w:val="0"/>
        <w:sz w:val="12"/>
      </w:rPr>
      <w:instrText xml:space="preserve"> FILENAME \p </w:instrText>
    </w:r>
    <w:r w:rsidRPr="00887CC0">
      <w:rPr>
        <w:rFonts w:ascii="Arial" w:hAnsi="Arial" w:cs="Arial"/>
        <w:snapToGrid w:val="0"/>
        <w:sz w:val="12"/>
      </w:rPr>
      <w:fldChar w:fldCharType="separate"/>
    </w:r>
    <w:r w:rsidR="005C7D57">
      <w:rPr>
        <w:rFonts w:ascii="Arial" w:hAnsi="Arial" w:cs="Arial"/>
        <w:noProof/>
        <w:snapToGrid w:val="0"/>
        <w:sz w:val="12"/>
      </w:rPr>
      <w:t>S:\Project Ce\Other\VM00605\fin rpt-Ph1CostEstReview-vm00605K-16dec14-bgeddes.docx</w:t>
    </w:r>
    <w:r w:rsidRPr="00887CC0">
      <w:rPr>
        <w:rFonts w:ascii="Arial" w:hAnsi="Arial" w:cs="Arial"/>
        <w:snapToGrid w:val="0"/>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C9" w:rsidRDefault="00DA1AC9">
      <w:r>
        <w:separator/>
      </w:r>
    </w:p>
  </w:footnote>
  <w:footnote w:type="continuationSeparator" w:id="0">
    <w:p w:rsidR="00DA1AC9" w:rsidRDefault="00DA1AC9">
      <w:r>
        <w:continuationSeparator/>
      </w:r>
    </w:p>
  </w:footnote>
  <w:footnote w:type="continuationNotice" w:id="1">
    <w:p w:rsidR="00DA1AC9" w:rsidRDefault="00DA1A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pPr>
      <w:widowControl w:val="0"/>
      <w:suppressAutoHyphens/>
      <w:spacing w:line="180" w:lineRule="exact"/>
      <w:rPr>
        <w:rFonts w:ascii="Arial" w:hAnsi="Arial" w:cs="Arial"/>
        <w:sz w:val="16"/>
      </w:rPr>
    </w:pPr>
    <w:r>
      <w:rPr>
        <w:rFonts w:ascii="Arial" w:hAnsi="Arial" w:cs="Arial"/>
        <w:noProof/>
        <w:sz w:val="16"/>
        <w:lang w:eastAsia="en-CA"/>
      </w:rPr>
      <w:drawing>
        <wp:anchor distT="0" distB="0" distL="114300" distR="114300" simplePos="0" relativeHeight="251672576" behindDoc="0" locked="0" layoutInCell="0" allowOverlap="1">
          <wp:simplePos x="0" y="0"/>
          <wp:positionH relativeFrom="column">
            <wp:align>right</wp:align>
          </wp:positionH>
          <wp:positionV relativeFrom="paragraph">
            <wp:posOffset>0</wp:posOffset>
          </wp:positionV>
          <wp:extent cx="1306830" cy="523875"/>
          <wp:effectExtent l="19050" t="0" r="7620" b="0"/>
          <wp:wrapNone/>
          <wp:docPr id="17" name="Picture 39"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meccol"/>
                  <pic:cNvPicPr>
                    <a:picLocks noChangeAspect="1" noChangeArrowheads="1"/>
                  </pic:cNvPicPr>
                </pic:nvPicPr>
                <pic:blipFill>
                  <a:blip r:embed="rId1"/>
                  <a:srcRect/>
                  <a:stretch>
                    <a:fillRect/>
                  </a:stretch>
                </pic:blipFill>
                <pic:spPr bwMode="auto">
                  <a:xfrm>
                    <a:off x="0" y="0"/>
                    <a:ext cx="1306830" cy="523875"/>
                  </a:xfrm>
                  <a:prstGeom prst="rect">
                    <a:avLst/>
                  </a:prstGeom>
                  <a:noFill/>
                  <a:ln w="9525">
                    <a:noFill/>
                    <a:miter lim="800000"/>
                    <a:headEnd/>
                    <a:tailEnd/>
                  </a:ln>
                </pic:spPr>
              </pic:pic>
            </a:graphicData>
          </a:graphic>
        </wp:anchor>
      </w:drawing>
    </w:r>
    <w:r w:rsidRPr="00887CC0">
      <w:rPr>
        <w:rFonts w:ascii="Arial" w:hAnsi="Arial" w:cs="Arial"/>
        <w:sz w:val="16"/>
      </w:rPr>
      <w:t>AMEC Environment &amp; Infrastructure,</w:t>
    </w:r>
  </w:p>
  <w:p w:rsidR="00DA1AC9" w:rsidRPr="00887CC0" w:rsidRDefault="00DA1AC9">
    <w:pPr>
      <w:widowControl w:val="0"/>
      <w:suppressAutoHyphens/>
      <w:spacing w:line="180" w:lineRule="exact"/>
      <w:rPr>
        <w:rFonts w:ascii="Arial" w:hAnsi="Arial" w:cs="Arial"/>
        <w:sz w:val="16"/>
      </w:rPr>
    </w:pPr>
    <w:r w:rsidRPr="00887CC0">
      <w:rPr>
        <w:rFonts w:ascii="Arial" w:hAnsi="Arial" w:cs="Arial"/>
        <w:sz w:val="16"/>
      </w:rPr>
      <w:t>a Division of AMEC Americas Limited</w:t>
    </w:r>
  </w:p>
  <w:p w:rsidR="00DA1AC9" w:rsidRPr="00887CC0" w:rsidRDefault="00DA1AC9">
    <w:pPr>
      <w:widowControl w:val="0"/>
      <w:suppressAutoHyphens/>
      <w:spacing w:line="180" w:lineRule="exact"/>
      <w:rPr>
        <w:rFonts w:ascii="Arial" w:hAnsi="Arial" w:cs="Arial"/>
        <w:sz w:val="16"/>
      </w:rPr>
    </w:pPr>
    <w:r w:rsidRPr="00887CC0">
      <w:rPr>
        <w:rFonts w:ascii="Arial" w:hAnsi="Arial" w:cs="Arial"/>
        <w:sz w:val="16"/>
      </w:rPr>
      <w:t>Su</w:t>
    </w:r>
    <w:r>
      <w:rPr>
        <w:rFonts w:ascii="Arial" w:hAnsi="Arial" w:cs="Arial"/>
        <w:sz w:val="16"/>
      </w:rPr>
      <w:t>ite 600 – 4445 Lougheed Highway</w:t>
    </w:r>
  </w:p>
  <w:p w:rsidR="00DA1AC9" w:rsidRPr="00887CC0" w:rsidRDefault="00DA1AC9" w:rsidP="00782029">
    <w:pPr>
      <w:widowControl w:val="0"/>
      <w:suppressAutoHyphens/>
      <w:spacing w:line="180" w:lineRule="exact"/>
      <w:rPr>
        <w:rFonts w:ascii="Arial" w:hAnsi="Arial" w:cs="Arial"/>
        <w:sz w:val="16"/>
      </w:rPr>
    </w:pPr>
    <w:r w:rsidRPr="00887CC0">
      <w:rPr>
        <w:rFonts w:ascii="Arial" w:hAnsi="Arial" w:cs="Arial"/>
        <w:sz w:val="16"/>
      </w:rPr>
      <w:t>Burnaby, BC, Canada V5C 0E4</w:t>
    </w:r>
  </w:p>
  <w:p w:rsidR="00DA1AC9" w:rsidRPr="00887CC0" w:rsidRDefault="00DA1AC9">
    <w:pPr>
      <w:widowControl w:val="0"/>
      <w:tabs>
        <w:tab w:val="left" w:pos="360"/>
      </w:tabs>
      <w:suppressAutoHyphens/>
      <w:spacing w:line="180" w:lineRule="exact"/>
      <w:rPr>
        <w:rFonts w:ascii="Arial" w:hAnsi="Arial" w:cs="Arial"/>
        <w:sz w:val="16"/>
      </w:rPr>
    </w:pPr>
    <w:r w:rsidRPr="00887CC0">
      <w:rPr>
        <w:rFonts w:ascii="Arial" w:hAnsi="Arial" w:cs="Arial"/>
        <w:sz w:val="16"/>
      </w:rPr>
      <w:t>Tel</w:t>
    </w:r>
    <w:r w:rsidRPr="00887CC0">
      <w:rPr>
        <w:rFonts w:ascii="Arial" w:hAnsi="Arial" w:cs="Arial"/>
        <w:sz w:val="16"/>
      </w:rPr>
      <w:tab/>
      <w:t>+1 (604) 294-3811</w:t>
    </w:r>
  </w:p>
  <w:p w:rsidR="00DA1AC9" w:rsidRPr="00887CC0" w:rsidRDefault="00DA1AC9">
    <w:pPr>
      <w:widowControl w:val="0"/>
      <w:tabs>
        <w:tab w:val="left" w:pos="360"/>
      </w:tabs>
      <w:suppressAutoHyphens/>
      <w:spacing w:line="180" w:lineRule="exact"/>
      <w:rPr>
        <w:rFonts w:ascii="Arial" w:hAnsi="Arial" w:cs="Arial"/>
        <w:sz w:val="16"/>
      </w:rPr>
    </w:pPr>
    <w:r w:rsidRPr="00887CC0">
      <w:rPr>
        <w:rFonts w:ascii="Arial" w:hAnsi="Arial" w:cs="Arial"/>
        <w:sz w:val="16"/>
      </w:rPr>
      <w:t>Fax</w:t>
    </w:r>
    <w:r w:rsidRPr="00887CC0">
      <w:rPr>
        <w:rFonts w:ascii="Arial" w:hAnsi="Arial" w:cs="Arial"/>
        <w:sz w:val="16"/>
      </w:rPr>
      <w:tab/>
      <w:t>+1 (604) 294-4664</w:t>
    </w:r>
  </w:p>
  <w:p w:rsidR="00DA1AC9" w:rsidRPr="00887CC0" w:rsidRDefault="00DA1AC9">
    <w:pPr>
      <w:rPr>
        <w:rFonts w:ascii="Arial" w:hAnsi="Arial" w:cs="Arial"/>
      </w:rPr>
    </w:pPr>
    <w:r w:rsidRPr="00887CC0">
      <w:rPr>
        <w:rFonts w:ascii="Arial" w:hAnsi="Arial" w:cs="Arial"/>
        <w:sz w:val="16"/>
      </w:rPr>
      <w:t>www.amec.com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9" w:rsidRPr="00887CC0" w:rsidRDefault="00DA1AC9" w:rsidP="00EA32C6">
    <w:pPr>
      <w:pStyle w:val="Header"/>
      <w:rPr>
        <w:rFonts w:ascii="Arial" w:hAnsi="Arial" w:cs="Arial"/>
        <w:sz w:val="16"/>
        <w:szCs w:val="16"/>
      </w:rPr>
    </w:pPr>
    <w:r>
      <w:rPr>
        <w:rFonts w:ascii="Arial" w:hAnsi="Arial" w:cs="Arial"/>
        <w:noProof/>
        <w:sz w:val="16"/>
        <w:szCs w:val="16"/>
        <w:lang w:eastAsia="en-CA"/>
      </w:rPr>
      <w:drawing>
        <wp:anchor distT="0" distB="0" distL="114300" distR="114300" simplePos="0" relativeHeight="251685888" behindDoc="0" locked="0" layoutInCell="0" allowOverlap="1" wp14:anchorId="7E6B6423" wp14:editId="78ED99F5">
          <wp:simplePos x="0" y="0"/>
          <wp:positionH relativeFrom="column">
            <wp:align>right</wp:align>
          </wp:positionH>
          <wp:positionV relativeFrom="paragraph">
            <wp:posOffset>0</wp:posOffset>
          </wp:positionV>
          <wp:extent cx="1306830" cy="523875"/>
          <wp:effectExtent l="19050" t="0" r="7620" b="0"/>
          <wp:wrapNone/>
          <wp:docPr id="3" name="Picture 39"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meccol"/>
                  <pic:cNvPicPr>
                    <a:picLocks noChangeAspect="1" noChangeArrowheads="1"/>
                  </pic:cNvPicPr>
                </pic:nvPicPr>
                <pic:blipFill>
                  <a:blip r:embed="rId1"/>
                  <a:srcRect/>
                  <a:stretch>
                    <a:fillRect/>
                  </a:stretch>
                </pic:blipFill>
                <pic:spPr bwMode="auto">
                  <a:xfrm>
                    <a:off x="0" y="0"/>
                    <a:ext cx="1306830" cy="523875"/>
                  </a:xfrm>
                  <a:prstGeom prst="rect">
                    <a:avLst/>
                  </a:prstGeom>
                  <a:noFill/>
                  <a:ln w="9525">
                    <a:noFill/>
                    <a:miter lim="800000"/>
                    <a:headEnd/>
                    <a:tailEnd/>
                  </a:ln>
                </pic:spPr>
              </pic:pic>
            </a:graphicData>
          </a:graphic>
        </wp:anchor>
      </w:drawing>
    </w:r>
    <w:r w:rsidRPr="00887CC0">
      <w:rPr>
        <w:rFonts w:ascii="Arial" w:hAnsi="Arial" w:cs="Arial"/>
        <w:noProof/>
        <w:sz w:val="16"/>
        <w:szCs w:val="16"/>
        <w:lang w:eastAsia="en-CA"/>
      </w:rPr>
      <w:t>Mount Nansen Remediation Project</w:t>
    </w:r>
  </w:p>
  <w:p w:rsidR="00DA1AC9" w:rsidRDefault="00DA1AC9" w:rsidP="00EA32C6">
    <w:pPr>
      <w:pStyle w:val="Header"/>
      <w:rPr>
        <w:rFonts w:ascii="Arial" w:hAnsi="Arial" w:cs="Arial"/>
        <w:noProof/>
        <w:sz w:val="16"/>
        <w:szCs w:val="16"/>
        <w:lang w:eastAsia="en-CA"/>
      </w:rPr>
    </w:pPr>
    <w:r>
      <w:rPr>
        <w:rFonts w:ascii="Arial" w:hAnsi="Arial" w:cs="Arial"/>
        <w:noProof/>
        <w:sz w:val="16"/>
        <w:szCs w:val="16"/>
        <w:lang w:eastAsia="en-CA"/>
      </w:rPr>
      <w:t>Review of Phase 1 (30% Design Phase)</w:t>
    </w:r>
  </w:p>
  <w:p w:rsidR="00DA1AC9" w:rsidRPr="00887CC0" w:rsidRDefault="00DA1AC9" w:rsidP="00EA32C6">
    <w:pPr>
      <w:pStyle w:val="Header"/>
      <w:rPr>
        <w:rFonts w:ascii="Arial" w:hAnsi="Arial" w:cs="Arial"/>
        <w:noProof/>
        <w:sz w:val="16"/>
        <w:szCs w:val="16"/>
        <w:lang w:eastAsia="en-CA"/>
      </w:rPr>
    </w:pPr>
    <w:r>
      <w:rPr>
        <w:rFonts w:ascii="Arial" w:hAnsi="Arial" w:cs="Arial"/>
        <w:noProof/>
        <w:sz w:val="16"/>
        <w:szCs w:val="16"/>
        <w:lang w:eastAsia="en-CA"/>
      </w:rPr>
      <w:t>Cost Estimate Scope and Bases</w:t>
    </w:r>
  </w:p>
  <w:p w:rsidR="00DA1AC9" w:rsidRPr="00887CC0" w:rsidRDefault="00DA1AC9" w:rsidP="00EA32C6">
    <w:pPr>
      <w:pStyle w:val="Header"/>
      <w:rPr>
        <w:rStyle w:val="PageNumber"/>
        <w:rFonts w:cs="Arial"/>
        <w:sz w:val="16"/>
        <w:szCs w:val="16"/>
      </w:rPr>
    </w:pPr>
    <w:r>
      <w:rPr>
        <w:rFonts w:ascii="Arial" w:hAnsi="Arial" w:cs="Arial"/>
        <w:noProof/>
        <w:sz w:val="16"/>
        <w:szCs w:val="16"/>
        <w:lang w:eastAsia="en-CA"/>
      </w:rPr>
      <w:t>December 18</w:t>
    </w:r>
    <w:r w:rsidRPr="00887CC0">
      <w:rPr>
        <w:rFonts w:ascii="Arial" w:hAnsi="Arial" w:cs="Arial"/>
        <w:noProof/>
        <w:sz w:val="16"/>
        <w:szCs w:val="16"/>
        <w:lang w:eastAsia="en-CA"/>
      </w:rPr>
      <w:t>, 2014</w:t>
    </w:r>
  </w:p>
  <w:p w:rsidR="00DA1AC9" w:rsidRPr="00887CC0" w:rsidRDefault="00DA1AC9" w:rsidP="00EA32C6">
    <w:pPr>
      <w:pStyle w:val="Header"/>
      <w:rPr>
        <w:rFonts w:ascii="Arial" w:hAnsi="Arial" w:cs="Arial"/>
        <w:sz w:val="16"/>
        <w:szCs w:val="16"/>
      </w:rPr>
    </w:pPr>
  </w:p>
  <w:p w:rsidR="00DA1AC9" w:rsidRPr="00887CC0" w:rsidRDefault="00DA1AC9" w:rsidP="00EA32C6">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D01B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AD811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206A7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DCA7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FB42E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D8D5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A7E35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244A4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3E462E"/>
    <w:lvl w:ilvl="0">
      <w:start w:val="1"/>
      <w:numFmt w:val="decimal"/>
      <w:pStyle w:val="ListNumber"/>
      <w:lvlText w:val="%1."/>
      <w:lvlJc w:val="left"/>
      <w:pPr>
        <w:tabs>
          <w:tab w:val="num" w:pos="360"/>
        </w:tabs>
        <w:ind w:left="360" w:hanging="360"/>
      </w:pPr>
      <w:rPr>
        <w:rFonts w:hint="default"/>
      </w:rPr>
    </w:lvl>
  </w:abstractNum>
  <w:abstractNum w:abstractNumId="9">
    <w:nsid w:val="00EA4043"/>
    <w:multiLevelType w:val="multilevel"/>
    <w:tmpl w:val="B692B0BA"/>
    <w:lvl w:ilvl="0">
      <w:start w:val="1"/>
      <w:numFmt w:val="upperLetter"/>
      <w:pStyle w:val="Appendix"/>
      <w:suff w:val="space"/>
      <w:lvlText w:val="Appendix %1"/>
      <w:lvlJc w:val="left"/>
      <w:pPr>
        <w:ind w:left="-4680" w:firstLine="4680"/>
      </w:pPr>
      <w:rPr>
        <w:rFonts w:ascii="Arial Bold" w:hAnsi="Arial Bold" w:cs="Times New Roman"/>
        <w:b w:val="0"/>
        <w:bCs w:val="0"/>
        <w:i w:val="0"/>
        <w:iCs w:val="0"/>
        <w:caps/>
        <w:smallCaps w:val="0"/>
        <w:strike w:val="0"/>
        <w:dstrike w:val="0"/>
        <w:noProof w:val="0"/>
        <w:vanish w:val="0"/>
        <w:color w:val="000000"/>
        <w:spacing w:val="0"/>
        <w:kern w:val="0"/>
        <w:position w:val="0"/>
        <w:u w:val="none"/>
        <w:vertAlign w:val="baseline"/>
        <w:em w:val="none"/>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0">
    <w:nsid w:val="08DC1C06"/>
    <w:multiLevelType w:val="hybridMultilevel"/>
    <w:tmpl w:val="71F8B5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B2822B3"/>
    <w:multiLevelType w:val="hybridMultilevel"/>
    <w:tmpl w:val="E6481B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35B14CC"/>
    <w:multiLevelType w:val="multilevel"/>
    <w:tmpl w:val="739CA996"/>
    <w:lvl w:ilvl="0">
      <w:start w:val="1"/>
      <w:numFmt w:val="lowerLetter"/>
      <w:pStyle w:val="Num1"/>
      <w:lvlText w:val="%1)"/>
      <w:lvlJc w:val="left"/>
      <w:pPr>
        <w:tabs>
          <w:tab w:val="num" w:pos="567"/>
        </w:tabs>
        <w:ind w:left="567" w:hanging="567"/>
      </w:pPr>
      <w:rPr>
        <w:rFonts w:cs="Times New Roman" w:hint="default"/>
      </w:rPr>
    </w:lvl>
    <w:lvl w:ilvl="1">
      <w:start w:val="1"/>
      <w:numFmt w:val="lowerRoman"/>
      <w:pStyle w:val="Num2"/>
      <w:lvlText w:val="%2)"/>
      <w:lvlJc w:val="left"/>
      <w:pPr>
        <w:tabs>
          <w:tab w:val="num" w:pos="562"/>
        </w:tabs>
        <w:ind w:left="1123" w:hanging="556"/>
      </w:pPr>
      <w:rPr>
        <w:rFonts w:cs="Times New Roman" w:hint="default"/>
      </w:rPr>
    </w:lvl>
    <w:lvl w:ilvl="2">
      <w:start w:val="1"/>
      <w:numFmt w:val="bullet"/>
      <w:pStyle w:val="Num3"/>
      <w:lvlText w:val=""/>
      <w:lvlJc w:val="left"/>
      <w:pPr>
        <w:tabs>
          <w:tab w:val="num" w:pos="562"/>
        </w:tabs>
        <w:ind w:left="1685" w:hanging="562"/>
      </w:pPr>
      <w:rPr>
        <w:rFonts w:ascii="Symbol" w:hAnsi="Symbol"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3">
    <w:nsid w:val="268A35D5"/>
    <w:multiLevelType w:val="multilevel"/>
    <w:tmpl w:val="4636DCB0"/>
    <w:lvl w:ilvl="0">
      <w:start w:val="1"/>
      <w:numFmt w:val="decimal"/>
      <w:pStyle w:val="Heading1"/>
      <w:lvlText w:val="%1"/>
      <w:lvlJc w:val="right"/>
      <w:pPr>
        <w:ind w:left="720" w:hanging="144"/>
      </w:pPr>
      <w:rPr>
        <w:rFonts w:hint="default"/>
      </w:rPr>
    </w:lvl>
    <w:lvl w:ilvl="1">
      <w:start w:val="1"/>
      <w:numFmt w:val="decimal"/>
      <w:pStyle w:val="Heading2"/>
      <w:lvlText w:val="%1.%2"/>
      <w:lvlJc w:val="right"/>
      <w:pPr>
        <w:ind w:left="720" w:hanging="144"/>
      </w:pPr>
      <w:rPr>
        <w:rFonts w:hint="default"/>
      </w:rPr>
    </w:lvl>
    <w:lvl w:ilvl="2">
      <w:start w:val="1"/>
      <w:numFmt w:val="decimal"/>
      <w:pStyle w:val="Heading3"/>
      <w:lvlText w:val="%1.%2.%3"/>
      <w:lvlJc w:val="right"/>
      <w:pPr>
        <w:ind w:left="720" w:hanging="144"/>
      </w:pPr>
      <w:rPr>
        <w:rFonts w:hint="default"/>
      </w:rPr>
    </w:lvl>
    <w:lvl w:ilvl="3">
      <w:start w:val="1"/>
      <w:numFmt w:val="decimal"/>
      <w:pStyle w:val="Heading4"/>
      <w:lvlText w:val="%1.%2.%3.%4"/>
      <w:lvlJc w:val="right"/>
      <w:pPr>
        <w:ind w:left="720" w:hanging="144"/>
      </w:pPr>
      <w:rPr>
        <w:rFonts w:hint="default"/>
      </w:rPr>
    </w:lvl>
    <w:lvl w:ilvl="4">
      <w:start w:val="1"/>
      <w:numFmt w:val="decimal"/>
      <w:pStyle w:val="Heading5"/>
      <w:lvlText w:val="%1.%2.%3.%4.%5"/>
      <w:lvlJc w:val="right"/>
      <w:pPr>
        <w:ind w:left="720" w:hanging="144"/>
      </w:pPr>
      <w:rPr>
        <w:rFonts w:hint="default"/>
      </w:rPr>
    </w:lvl>
    <w:lvl w:ilvl="5">
      <w:start w:val="1"/>
      <w:numFmt w:val="decimal"/>
      <w:lvlText w:val="%1.%2.%3.%4.%5.%6"/>
      <w:lvlJc w:val="right"/>
      <w:pPr>
        <w:ind w:left="720" w:hanging="144"/>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27BC17DA"/>
    <w:multiLevelType w:val="multilevel"/>
    <w:tmpl w:val="EFBEDA90"/>
    <w:lvl w:ilvl="0">
      <w:start w:val="1"/>
      <w:numFmt w:val="decimal"/>
      <w:lvlText w:val="%1"/>
      <w:lvlJc w:val="left"/>
      <w:pPr>
        <w:tabs>
          <w:tab w:val="num" w:pos="720"/>
        </w:tabs>
        <w:ind w:left="720" w:hanging="720"/>
      </w:pPr>
      <w:rPr>
        <w:rFonts w:hint="default"/>
      </w:rPr>
    </w:lvl>
    <w:lvl w:ilvl="1">
      <w:start w:val="1"/>
      <w:numFmt w:val="decimal"/>
      <w:pStyle w:val="AEEXECSUM2"/>
      <w:lvlText w:val="%1.%2"/>
      <w:lvlJc w:val="left"/>
      <w:pPr>
        <w:tabs>
          <w:tab w:val="num" w:pos="1440"/>
        </w:tabs>
        <w:ind w:left="1440" w:hanging="720"/>
      </w:pPr>
      <w:rPr>
        <w:rFonts w:hint="default"/>
      </w:rPr>
    </w:lvl>
    <w:lvl w:ilvl="2">
      <w:start w:val="1"/>
      <w:numFmt w:val="decimal"/>
      <w:pStyle w:val="AEEXECSUM3"/>
      <w:lvlText w:val="%1.%2.%3"/>
      <w:lvlJc w:val="left"/>
      <w:pPr>
        <w:tabs>
          <w:tab w:val="num" w:pos="108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324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9B8273A"/>
    <w:multiLevelType w:val="hybridMultilevel"/>
    <w:tmpl w:val="30AA37E0"/>
    <w:lvl w:ilvl="0" w:tplc="1240718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29416C2"/>
    <w:multiLevelType w:val="hybridMultilevel"/>
    <w:tmpl w:val="99E0B0FE"/>
    <w:lvl w:ilvl="0" w:tplc="6A10641C">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E5D2852"/>
    <w:multiLevelType w:val="singleLevel"/>
    <w:tmpl w:val="3340A3B6"/>
    <w:lvl w:ilvl="0">
      <w:start w:val="1"/>
      <w:numFmt w:val="bullet"/>
      <w:pStyle w:val="Reportbullet"/>
      <w:lvlText w:val="•"/>
      <w:lvlJc w:val="left"/>
      <w:pPr>
        <w:tabs>
          <w:tab w:val="num" w:pos="720"/>
        </w:tabs>
        <w:ind w:left="720"/>
      </w:pPr>
      <w:rPr>
        <w:rFonts w:ascii="Times New Roman" w:hAnsi="Times New Roman" w:hint="default"/>
      </w:rPr>
    </w:lvl>
  </w:abstractNum>
  <w:abstractNum w:abstractNumId="18">
    <w:nsid w:val="58EE6B27"/>
    <w:multiLevelType w:val="hybridMultilevel"/>
    <w:tmpl w:val="9DA6668A"/>
    <w:lvl w:ilvl="0" w:tplc="5A6A2732">
      <w:start w:val="1"/>
      <w:numFmt w:val="decimal"/>
      <w:pStyle w:val="List"/>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5A8A3133"/>
    <w:multiLevelType w:val="singleLevel"/>
    <w:tmpl w:val="957C343A"/>
    <w:lvl w:ilvl="0">
      <w:start w:val="1"/>
      <w:numFmt w:val="bullet"/>
      <w:pStyle w:val="Bullet"/>
      <w:lvlText w:val="•"/>
      <w:lvlJc w:val="left"/>
      <w:pPr>
        <w:tabs>
          <w:tab w:val="num" w:pos="720"/>
        </w:tabs>
        <w:ind w:left="720" w:hanging="720"/>
      </w:pPr>
      <w:rPr>
        <w:rFonts w:ascii="Times New Roman" w:hAnsi="Times New Roman" w:hint="default"/>
      </w:rPr>
    </w:lvl>
  </w:abstractNum>
  <w:abstractNum w:abstractNumId="20">
    <w:nsid w:val="5F5A472D"/>
    <w:multiLevelType w:val="multilevel"/>
    <w:tmpl w:val="594E77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5A70134"/>
    <w:multiLevelType w:val="multilevel"/>
    <w:tmpl w:val="68DEACB6"/>
    <w:lvl w:ilvl="0">
      <w:start w:val="1"/>
      <w:numFmt w:val="bullet"/>
      <w:pStyle w:val="Bullet1"/>
      <w:lvlText w:val=""/>
      <w:lvlJc w:val="left"/>
      <w:pPr>
        <w:tabs>
          <w:tab w:val="num" w:pos="562"/>
        </w:tabs>
        <w:ind w:left="562" w:hanging="562"/>
      </w:pPr>
      <w:rPr>
        <w:rFonts w:ascii="Symbol" w:hAnsi="Symbol" w:hint="default"/>
        <w:color w:val="auto"/>
      </w:rPr>
    </w:lvl>
    <w:lvl w:ilvl="1">
      <w:start w:val="1"/>
      <w:numFmt w:val="bullet"/>
      <w:pStyle w:val="Bullet2"/>
      <w:lvlText w:val=""/>
      <w:lvlJc w:val="left"/>
      <w:pPr>
        <w:tabs>
          <w:tab w:val="num" w:pos="562"/>
        </w:tabs>
        <w:ind w:left="1123" w:hanging="561"/>
      </w:pPr>
      <w:rPr>
        <w:rFonts w:ascii="Symbol" w:hAnsi="Symbol" w:hint="default"/>
      </w:rPr>
    </w:lvl>
    <w:lvl w:ilvl="2">
      <w:start w:val="1"/>
      <w:numFmt w:val="none"/>
      <w:lvlText w:val=""/>
      <w:lvlJc w:val="left"/>
      <w:pPr>
        <w:tabs>
          <w:tab w:val="num" w:pos="0"/>
        </w:tabs>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22">
    <w:nsid w:val="65C74F99"/>
    <w:multiLevelType w:val="singleLevel"/>
    <w:tmpl w:val="FCAE2558"/>
    <w:lvl w:ilvl="0">
      <w:start w:val="1"/>
      <w:numFmt w:val="bullet"/>
      <w:pStyle w:val="BULLET20"/>
      <w:lvlText w:val=""/>
      <w:lvlJc w:val="left"/>
      <w:pPr>
        <w:tabs>
          <w:tab w:val="num" w:pos="360"/>
        </w:tabs>
        <w:ind w:left="360" w:hanging="360"/>
      </w:pPr>
      <w:rPr>
        <w:rFonts w:ascii="Symbol" w:hAnsi="Symbol" w:hint="default"/>
      </w:rPr>
    </w:lvl>
  </w:abstractNum>
  <w:abstractNum w:abstractNumId="23">
    <w:nsid w:val="65D9129B"/>
    <w:multiLevelType w:val="hybridMultilevel"/>
    <w:tmpl w:val="0CDEDD62"/>
    <w:lvl w:ilvl="0" w:tplc="9702A298">
      <w:start w:val="1"/>
      <w:numFmt w:val="bullet"/>
      <w:pStyle w:val="bullet0"/>
      <w:lvlText w:val=""/>
      <w:lvlJc w:val="left"/>
      <w:pPr>
        <w:tabs>
          <w:tab w:val="num" w:pos="720"/>
        </w:tabs>
        <w:ind w:left="720" w:hanging="360"/>
      </w:pPr>
      <w:rPr>
        <w:rFonts w:ascii="Symbol" w:hAnsi="Symbol" w:hint="default"/>
      </w:rPr>
    </w:lvl>
    <w:lvl w:ilvl="1" w:tplc="368C190A">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66407D9E"/>
    <w:multiLevelType w:val="hybridMultilevel"/>
    <w:tmpl w:val="C6B6ED16"/>
    <w:lvl w:ilvl="0" w:tplc="10090001">
      <w:start w:val="1"/>
      <w:numFmt w:val="bullet"/>
      <w:lvlText w:val=""/>
      <w:lvlJc w:val="left"/>
      <w:pPr>
        <w:tabs>
          <w:tab w:val="num" w:pos="720"/>
        </w:tabs>
        <w:ind w:left="720" w:hanging="360"/>
      </w:pPr>
      <w:rPr>
        <w:rFonts w:ascii="Wingdings" w:hAnsi="Wingdings" w:hint="default"/>
      </w:rPr>
    </w:lvl>
    <w:lvl w:ilvl="1" w:tplc="03448258">
      <w:start w:val="1"/>
      <w:numFmt w:val="bullet"/>
      <w:pStyle w:val="bullet21"/>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Wingdings" w:hAnsi="Wingdings" w:hint="default"/>
      </w:rPr>
    </w:lvl>
    <w:lvl w:ilvl="4" w:tplc="10090003" w:tentative="1">
      <w:start w:val="1"/>
      <w:numFmt w:val="bullet"/>
      <w:lvlText w:val=""/>
      <w:lvlJc w:val="left"/>
      <w:pPr>
        <w:tabs>
          <w:tab w:val="num" w:pos="3600"/>
        </w:tabs>
        <w:ind w:left="3600" w:hanging="360"/>
      </w:pPr>
      <w:rPr>
        <w:rFonts w:ascii="Wingdings" w:hAnsi="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Wingdings" w:hAnsi="Wingdings" w:hint="default"/>
      </w:rPr>
    </w:lvl>
    <w:lvl w:ilvl="7" w:tplc="10090003" w:tentative="1">
      <w:start w:val="1"/>
      <w:numFmt w:val="bullet"/>
      <w:lvlText w:val=""/>
      <w:lvlJc w:val="left"/>
      <w:pPr>
        <w:tabs>
          <w:tab w:val="num" w:pos="5760"/>
        </w:tabs>
        <w:ind w:left="5760" w:hanging="360"/>
      </w:pPr>
      <w:rPr>
        <w:rFonts w:ascii="Wingdings" w:hAnsi="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9A23C3C"/>
    <w:multiLevelType w:val="hybridMultilevel"/>
    <w:tmpl w:val="0C987D4A"/>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6">
    <w:nsid w:val="6BAF775D"/>
    <w:multiLevelType w:val="multilevel"/>
    <w:tmpl w:val="74AC8082"/>
    <w:styleLink w:val="Style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6BD344BF"/>
    <w:multiLevelType w:val="hybridMultilevel"/>
    <w:tmpl w:val="771E1BB6"/>
    <w:lvl w:ilvl="0" w:tplc="222EA550">
      <w:start w:val="3"/>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C2877D5"/>
    <w:multiLevelType w:val="hybridMultilevel"/>
    <w:tmpl w:val="0F1876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nsid w:val="6F6D084D"/>
    <w:multiLevelType w:val="hybridMultilevel"/>
    <w:tmpl w:val="E85EF25A"/>
    <w:lvl w:ilvl="0" w:tplc="222EA550">
      <w:start w:val="1"/>
      <w:numFmt w:val="bullet"/>
      <w:pStyle w:val="AMEC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8DF66A2"/>
    <w:multiLevelType w:val="hybridMultilevel"/>
    <w:tmpl w:val="1F7ADF52"/>
    <w:lvl w:ilvl="0" w:tplc="222EA55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EC3503B"/>
    <w:multiLevelType w:val="hybridMultilevel"/>
    <w:tmpl w:val="7146288C"/>
    <w:lvl w:ilvl="0" w:tplc="10090001">
      <w:start w:val="1"/>
      <w:numFmt w:val="decimal"/>
      <w:pStyle w:val="AMECNumber"/>
      <w:lvlText w:val="%1."/>
      <w:lvlJc w:val="left"/>
      <w:pPr>
        <w:tabs>
          <w:tab w:val="num" w:pos="360"/>
        </w:tabs>
        <w:ind w:left="360" w:hanging="360"/>
      </w:pPr>
      <w:rPr>
        <w:rFonts w:hint="default"/>
      </w:rPr>
    </w:lvl>
    <w:lvl w:ilvl="1" w:tplc="10090003" w:tentative="1">
      <w:start w:val="1"/>
      <w:numFmt w:val="lowerLetter"/>
      <w:lvlText w:val="%2."/>
      <w:lvlJc w:val="left"/>
      <w:pPr>
        <w:tabs>
          <w:tab w:val="num" w:pos="1440"/>
        </w:tabs>
        <w:ind w:left="1440" w:hanging="360"/>
      </w:pPr>
    </w:lvl>
    <w:lvl w:ilvl="2" w:tplc="6C881A0E" w:tentative="1">
      <w:start w:val="1"/>
      <w:numFmt w:val="lowerRoman"/>
      <w:lvlText w:val="%3."/>
      <w:lvlJc w:val="right"/>
      <w:pPr>
        <w:tabs>
          <w:tab w:val="num" w:pos="2160"/>
        </w:tabs>
        <w:ind w:left="2160" w:hanging="180"/>
      </w:pPr>
    </w:lvl>
    <w:lvl w:ilvl="3" w:tplc="10090001" w:tentative="1">
      <w:start w:val="1"/>
      <w:numFmt w:val="decimal"/>
      <w:lvlText w:val="%4."/>
      <w:lvlJc w:val="left"/>
      <w:pPr>
        <w:tabs>
          <w:tab w:val="num" w:pos="2880"/>
        </w:tabs>
        <w:ind w:left="2880" w:hanging="360"/>
      </w:pPr>
    </w:lvl>
    <w:lvl w:ilvl="4" w:tplc="10090003" w:tentative="1">
      <w:start w:val="1"/>
      <w:numFmt w:val="lowerLetter"/>
      <w:lvlText w:val="%5."/>
      <w:lvlJc w:val="left"/>
      <w:pPr>
        <w:tabs>
          <w:tab w:val="num" w:pos="3600"/>
        </w:tabs>
        <w:ind w:left="3600" w:hanging="360"/>
      </w:pPr>
    </w:lvl>
    <w:lvl w:ilvl="5" w:tplc="10090005" w:tentative="1">
      <w:start w:val="1"/>
      <w:numFmt w:val="lowerRoman"/>
      <w:lvlText w:val="%6."/>
      <w:lvlJc w:val="right"/>
      <w:pPr>
        <w:tabs>
          <w:tab w:val="num" w:pos="4320"/>
        </w:tabs>
        <w:ind w:left="4320" w:hanging="180"/>
      </w:pPr>
    </w:lvl>
    <w:lvl w:ilvl="6" w:tplc="10090001" w:tentative="1">
      <w:start w:val="1"/>
      <w:numFmt w:val="decimal"/>
      <w:lvlText w:val="%7."/>
      <w:lvlJc w:val="left"/>
      <w:pPr>
        <w:tabs>
          <w:tab w:val="num" w:pos="5040"/>
        </w:tabs>
        <w:ind w:left="5040" w:hanging="360"/>
      </w:pPr>
    </w:lvl>
    <w:lvl w:ilvl="7" w:tplc="10090003" w:tentative="1">
      <w:start w:val="1"/>
      <w:numFmt w:val="lowerLetter"/>
      <w:lvlText w:val="%8."/>
      <w:lvlJc w:val="left"/>
      <w:pPr>
        <w:tabs>
          <w:tab w:val="num" w:pos="5760"/>
        </w:tabs>
        <w:ind w:left="5760" w:hanging="360"/>
      </w:pPr>
    </w:lvl>
    <w:lvl w:ilvl="8" w:tplc="10090005" w:tentative="1">
      <w:start w:val="1"/>
      <w:numFmt w:val="lowerRoman"/>
      <w:lvlText w:val="%9."/>
      <w:lvlJc w:val="right"/>
      <w:pPr>
        <w:tabs>
          <w:tab w:val="num" w:pos="6480"/>
        </w:tabs>
        <w:ind w:left="6480" w:hanging="180"/>
      </w:pPr>
    </w:lvl>
  </w:abstractNum>
  <w:abstractNum w:abstractNumId="32">
    <w:nsid w:val="7FFB174F"/>
    <w:multiLevelType w:val="multilevel"/>
    <w:tmpl w:val="CEAE63A0"/>
    <w:lvl w:ilvl="0">
      <w:start w:val="1"/>
      <w:numFmt w:val="bullet"/>
      <w:lvlRestart w:val="0"/>
      <w:pStyle w:val="ListTinyBullet"/>
      <w:lvlText w:val=""/>
      <w:lvlJc w:val="left"/>
      <w:pPr>
        <w:tabs>
          <w:tab w:val="num" w:pos="360"/>
        </w:tabs>
        <w:ind w:left="360" w:hanging="360"/>
      </w:pPr>
      <w:rPr>
        <w:rFonts w:ascii="Symbol" w:hAnsi="Symbol" w:hint="default"/>
        <w:sz w:val="20"/>
      </w:rPr>
    </w:lvl>
    <w:lvl w:ilvl="1">
      <w:start w:val="1"/>
      <w:numFmt w:val="bullet"/>
      <w:pStyle w:val="ListTinyBullet2"/>
      <w:lvlText w:val=""/>
      <w:lvlJc w:val="left"/>
      <w:pPr>
        <w:tabs>
          <w:tab w:val="num" w:pos="720"/>
        </w:tabs>
        <w:ind w:left="720" w:hanging="360"/>
      </w:pPr>
      <w:rPr>
        <w:rFonts w:ascii="Symbol" w:hAnsi="Symbol" w:hint="default"/>
        <w:sz w:val="16"/>
      </w:rPr>
    </w:lvl>
    <w:lvl w:ilvl="2">
      <w:start w:val="1"/>
      <w:numFmt w:val="bullet"/>
      <w:pStyle w:val="ListTinyBullet3"/>
      <w:lvlText w:val=""/>
      <w:lvlJc w:val="left"/>
      <w:pPr>
        <w:tabs>
          <w:tab w:val="num" w:pos="1080"/>
        </w:tabs>
        <w:ind w:left="1080" w:hanging="360"/>
      </w:pPr>
      <w:rPr>
        <w:rFonts w:ascii="Symbol" w:hAnsi="Symbol" w:hint="default"/>
        <w:sz w:val="12"/>
      </w:rPr>
    </w:lvl>
    <w:lvl w:ilvl="3">
      <w:start w:val="1"/>
      <w:numFmt w:val="bullet"/>
      <w:pStyle w:val="ListTinyBullet4"/>
      <w:lvlText w:val=""/>
      <w:lvlJc w:val="left"/>
      <w:pPr>
        <w:tabs>
          <w:tab w:val="num" w:pos="1440"/>
        </w:tabs>
        <w:ind w:left="1440" w:hanging="360"/>
      </w:pPr>
      <w:rPr>
        <w:rFonts w:ascii="Symbol" w:hAnsi="Symbol" w:hint="default"/>
        <w:sz w:val="8"/>
      </w:rPr>
    </w:lvl>
    <w:lvl w:ilvl="4">
      <w:start w:val="1"/>
      <w:numFmt w:val="bullet"/>
      <w:pStyle w:val="ListTinyBullet5"/>
      <w:lvlText w:val=""/>
      <w:lvlJc w:val="left"/>
      <w:pPr>
        <w:tabs>
          <w:tab w:val="num" w:pos="1800"/>
        </w:tabs>
        <w:ind w:left="1800" w:hanging="360"/>
      </w:pPr>
      <w:rPr>
        <w:rFonts w:ascii="Symbol" w:hAnsi="Symbol" w:hint="default"/>
        <w:sz w:val="8"/>
      </w:rPr>
    </w:lvl>
    <w:lvl w:ilvl="5">
      <w:start w:val="1"/>
      <w:numFmt w:val="bullet"/>
      <w:lvlRestart w:val="4"/>
      <w:lvlText w:val=""/>
      <w:lvlJc w:val="left"/>
      <w:pPr>
        <w:tabs>
          <w:tab w:val="num" w:pos="2160"/>
        </w:tabs>
        <w:ind w:left="2160" w:hanging="360"/>
      </w:pPr>
      <w:rPr>
        <w:rFonts w:ascii="Symbol" w:hAnsi="Symbol" w:hint="default"/>
        <w:sz w:val="8"/>
      </w:rPr>
    </w:lvl>
    <w:lvl w:ilvl="6">
      <w:start w:val="1"/>
      <w:numFmt w:val="bullet"/>
      <w:lvlRestart w:val="4"/>
      <w:lvlText w:val=""/>
      <w:lvlJc w:val="left"/>
      <w:pPr>
        <w:tabs>
          <w:tab w:val="num" w:pos="2520"/>
        </w:tabs>
        <w:ind w:left="2520" w:hanging="360"/>
      </w:pPr>
      <w:rPr>
        <w:rFonts w:ascii="Symbol" w:hAnsi="Symbol" w:hint="default"/>
        <w:sz w:val="8"/>
      </w:rPr>
    </w:lvl>
    <w:lvl w:ilvl="7">
      <w:start w:val="1"/>
      <w:numFmt w:val="bullet"/>
      <w:lvlRestart w:val="4"/>
      <w:lvlText w:val=""/>
      <w:lvlJc w:val="left"/>
      <w:pPr>
        <w:tabs>
          <w:tab w:val="num" w:pos="2880"/>
        </w:tabs>
        <w:ind w:left="2880" w:hanging="360"/>
      </w:pPr>
      <w:rPr>
        <w:rFonts w:ascii="Symbol" w:hAnsi="Symbol" w:hint="default"/>
        <w:sz w:val="8"/>
      </w:rPr>
    </w:lvl>
    <w:lvl w:ilvl="8">
      <w:start w:val="1"/>
      <w:numFmt w:val="bullet"/>
      <w:lvlRestart w:val="4"/>
      <w:lvlText w:val=""/>
      <w:lvlJc w:val="left"/>
      <w:pPr>
        <w:tabs>
          <w:tab w:val="num" w:pos="3240"/>
        </w:tabs>
        <w:ind w:left="3240" w:hanging="360"/>
      </w:pPr>
      <w:rPr>
        <w:rFonts w:ascii="Symbol" w:hAnsi="Symbol" w:hint="default"/>
        <w:sz w:val="8"/>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29"/>
  </w:num>
  <w:num w:numId="14">
    <w:abstractNumId w:val="21"/>
  </w:num>
  <w:num w:numId="15">
    <w:abstractNumId w:val="12"/>
  </w:num>
  <w:num w:numId="16">
    <w:abstractNumId w:val="19"/>
  </w:num>
  <w:num w:numId="17">
    <w:abstractNumId w:val="17"/>
  </w:num>
  <w:num w:numId="18">
    <w:abstractNumId w:val="26"/>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2"/>
  </w:num>
  <w:num w:numId="22">
    <w:abstractNumId w:val="22"/>
  </w:num>
  <w:num w:numId="23">
    <w:abstractNumId w:val="27"/>
  </w:num>
  <w:num w:numId="24">
    <w:abstractNumId w:val="24"/>
  </w:num>
  <w:num w:numId="25">
    <w:abstractNumId w:val="18"/>
  </w:num>
  <w:num w:numId="26">
    <w:abstractNumId w:val="13"/>
  </w:num>
  <w:num w:numId="27">
    <w:abstractNumId w:val="30"/>
  </w:num>
  <w:num w:numId="28">
    <w:abstractNumId w:val="10"/>
  </w:num>
  <w:num w:numId="29">
    <w:abstractNumId w:val="15"/>
  </w:num>
  <w:num w:numId="30">
    <w:abstractNumId w:val="1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8"/>
    <w:lvlOverride w:ilvl="0">
      <w:startOverride w:val="1"/>
    </w:lvlOverride>
  </w:num>
  <w:num w:numId="34">
    <w:abstractNumId w:val="28"/>
  </w:num>
  <w:num w:numId="35">
    <w:abstractNumId w:val="25"/>
  </w:num>
  <w:num w:numId="3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0"/>
  <w:displayVerticalDrawingGridEvery w:val="0"/>
  <w:noPunctuationKerning/>
  <w:characterSpacingControl w:val="doNotCompress"/>
  <w:hdrShapeDefaults>
    <o:shapedefaults v:ext="edit" spidmax="4505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DA"/>
    <w:rsid w:val="000012BD"/>
    <w:rsid w:val="00002689"/>
    <w:rsid w:val="0000290E"/>
    <w:rsid w:val="00002C38"/>
    <w:rsid w:val="00003DD2"/>
    <w:rsid w:val="0000433C"/>
    <w:rsid w:val="00004F9E"/>
    <w:rsid w:val="00005611"/>
    <w:rsid w:val="00006DC4"/>
    <w:rsid w:val="000109CA"/>
    <w:rsid w:val="000120C6"/>
    <w:rsid w:val="0001226F"/>
    <w:rsid w:val="00013048"/>
    <w:rsid w:val="0001339B"/>
    <w:rsid w:val="00013CFB"/>
    <w:rsid w:val="00013F13"/>
    <w:rsid w:val="000153AD"/>
    <w:rsid w:val="00015587"/>
    <w:rsid w:val="00016CE6"/>
    <w:rsid w:val="00020DED"/>
    <w:rsid w:val="00021771"/>
    <w:rsid w:val="00021EAB"/>
    <w:rsid w:val="00025865"/>
    <w:rsid w:val="00025FA8"/>
    <w:rsid w:val="00026763"/>
    <w:rsid w:val="0002750E"/>
    <w:rsid w:val="0003024D"/>
    <w:rsid w:val="000332F9"/>
    <w:rsid w:val="000347BF"/>
    <w:rsid w:val="00035757"/>
    <w:rsid w:val="00037E06"/>
    <w:rsid w:val="00040B3C"/>
    <w:rsid w:val="00041135"/>
    <w:rsid w:val="00042E99"/>
    <w:rsid w:val="00043320"/>
    <w:rsid w:val="00044DA7"/>
    <w:rsid w:val="0004635B"/>
    <w:rsid w:val="0004663A"/>
    <w:rsid w:val="00047038"/>
    <w:rsid w:val="00047B4F"/>
    <w:rsid w:val="00050987"/>
    <w:rsid w:val="00051501"/>
    <w:rsid w:val="00052708"/>
    <w:rsid w:val="00052C37"/>
    <w:rsid w:val="00053F30"/>
    <w:rsid w:val="000545B6"/>
    <w:rsid w:val="000547BE"/>
    <w:rsid w:val="00055BAE"/>
    <w:rsid w:val="00055EDF"/>
    <w:rsid w:val="000575D1"/>
    <w:rsid w:val="0006127F"/>
    <w:rsid w:val="000619C1"/>
    <w:rsid w:val="00061D5C"/>
    <w:rsid w:val="0006376B"/>
    <w:rsid w:val="00064235"/>
    <w:rsid w:val="000650C1"/>
    <w:rsid w:val="00065E33"/>
    <w:rsid w:val="00065FD1"/>
    <w:rsid w:val="00067687"/>
    <w:rsid w:val="00067C9A"/>
    <w:rsid w:val="00070027"/>
    <w:rsid w:val="0007165E"/>
    <w:rsid w:val="00073163"/>
    <w:rsid w:val="000741F0"/>
    <w:rsid w:val="0007476C"/>
    <w:rsid w:val="00075176"/>
    <w:rsid w:val="000753AF"/>
    <w:rsid w:val="0007687A"/>
    <w:rsid w:val="000774B4"/>
    <w:rsid w:val="0007759D"/>
    <w:rsid w:val="00081CA9"/>
    <w:rsid w:val="0008357A"/>
    <w:rsid w:val="00083BEE"/>
    <w:rsid w:val="0008422A"/>
    <w:rsid w:val="00084665"/>
    <w:rsid w:val="000850C5"/>
    <w:rsid w:val="00086965"/>
    <w:rsid w:val="00086A1A"/>
    <w:rsid w:val="000878C0"/>
    <w:rsid w:val="00087F4F"/>
    <w:rsid w:val="0009037B"/>
    <w:rsid w:val="00090548"/>
    <w:rsid w:val="00090C2B"/>
    <w:rsid w:val="00090FB1"/>
    <w:rsid w:val="00092200"/>
    <w:rsid w:val="00093292"/>
    <w:rsid w:val="0009367A"/>
    <w:rsid w:val="0009374A"/>
    <w:rsid w:val="000944FB"/>
    <w:rsid w:val="000951B2"/>
    <w:rsid w:val="000969D6"/>
    <w:rsid w:val="00096B43"/>
    <w:rsid w:val="00097070"/>
    <w:rsid w:val="00097EBA"/>
    <w:rsid w:val="000A1162"/>
    <w:rsid w:val="000A18E5"/>
    <w:rsid w:val="000A29AB"/>
    <w:rsid w:val="000A2D10"/>
    <w:rsid w:val="000A39BA"/>
    <w:rsid w:val="000A500F"/>
    <w:rsid w:val="000A560E"/>
    <w:rsid w:val="000A6017"/>
    <w:rsid w:val="000A614B"/>
    <w:rsid w:val="000A6221"/>
    <w:rsid w:val="000A6D7E"/>
    <w:rsid w:val="000A6F73"/>
    <w:rsid w:val="000A7D01"/>
    <w:rsid w:val="000A7F20"/>
    <w:rsid w:val="000B07D0"/>
    <w:rsid w:val="000B1889"/>
    <w:rsid w:val="000B1BD9"/>
    <w:rsid w:val="000B1E19"/>
    <w:rsid w:val="000B21C8"/>
    <w:rsid w:val="000B2CC7"/>
    <w:rsid w:val="000B7FA1"/>
    <w:rsid w:val="000C1A96"/>
    <w:rsid w:val="000C3340"/>
    <w:rsid w:val="000C3C5D"/>
    <w:rsid w:val="000C4423"/>
    <w:rsid w:val="000C4432"/>
    <w:rsid w:val="000C4BE8"/>
    <w:rsid w:val="000C62BE"/>
    <w:rsid w:val="000C6392"/>
    <w:rsid w:val="000C64F4"/>
    <w:rsid w:val="000C6CEE"/>
    <w:rsid w:val="000C7280"/>
    <w:rsid w:val="000D02DE"/>
    <w:rsid w:val="000D03C7"/>
    <w:rsid w:val="000D03D1"/>
    <w:rsid w:val="000D1CA9"/>
    <w:rsid w:val="000D38E0"/>
    <w:rsid w:val="000D3A58"/>
    <w:rsid w:val="000D439B"/>
    <w:rsid w:val="000D6165"/>
    <w:rsid w:val="000D77E3"/>
    <w:rsid w:val="000E0179"/>
    <w:rsid w:val="000E0BE5"/>
    <w:rsid w:val="000E1326"/>
    <w:rsid w:val="000E1A02"/>
    <w:rsid w:val="000E1F18"/>
    <w:rsid w:val="000E200C"/>
    <w:rsid w:val="000E23C2"/>
    <w:rsid w:val="000E2417"/>
    <w:rsid w:val="000E26CA"/>
    <w:rsid w:val="000E2706"/>
    <w:rsid w:val="000E2AA1"/>
    <w:rsid w:val="000E3034"/>
    <w:rsid w:val="000E45C7"/>
    <w:rsid w:val="000E47A1"/>
    <w:rsid w:val="000E70BD"/>
    <w:rsid w:val="000E7254"/>
    <w:rsid w:val="000F17AF"/>
    <w:rsid w:val="000F1CB7"/>
    <w:rsid w:val="000F2870"/>
    <w:rsid w:val="000F33B5"/>
    <w:rsid w:val="000F56DD"/>
    <w:rsid w:val="000F6A01"/>
    <w:rsid w:val="000F7420"/>
    <w:rsid w:val="000F7B39"/>
    <w:rsid w:val="000F7BD7"/>
    <w:rsid w:val="00100059"/>
    <w:rsid w:val="00101EAA"/>
    <w:rsid w:val="001026D8"/>
    <w:rsid w:val="0010406A"/>
    <w:rsid w:val="00104A5B"/>
    <w:rsid w:val="00105699"/>
    <w:rsid w:val="00106538"/>
    <w:rsid w:val="00107413"/>
    <w:rsid w:val="00110C41"/>
    <w:rsid w:val="001131C7"/>
    <w:rsid w:val="00113D29"/>
    <w:rsid w:val="00113DCA"/>
    <w:rsid w:val="00113E95"/>
    <w:rsid w:val="00115274"/>
    <w:rsid w:val="001160D7"/>
    <w:rsid w:val="00116446"/>
    <w:rsid w:val="001171A4"/>
    <w:rsid w:val="0011726E"/>
    <w:rsid w:val="00117911"/>
    <w:rsid w:val="001209F1"/>
    <w:rsid w:val="001219B4"/>
    <w:rsid w:val="00121E3A"/>
    <w:rsid w:val="0012230D"/>
    <w:rsid w:val="00123419"/>
    <w:rsid w:val="0012430F"/>
    <w:rsid w:val="001248D6"/>
    <w:rsid w:val="001253EE"/>
    <w:rsid w:val="00125FBC"/>
    <w:rsid w:val="00126E72"/>
    <w:rsid w:val="00126F38"/>
    <w:rsid w:val="001276FD"/>
    <w:rsid w:val="00130313"/>
    <w:rsid w:val="0013168A"/>
    <w:rsid w:val="00132254"/>
    <w:rsid w:val="00132B52"/>
    <w:rsid w:val="001330B6"/>
    <w:rsid w:val="0013321E"/>
    <w:rsid w:val="001338E2"/>
    <w:rsid w:val="00134A5C"/>
    <w:rsid w:val="00134EFD"/>
    <w:rsid w:val="00135BE1"/>
    <w:rsid w:val="00136ABC"/>
    <w:rsid w:val="00137C1B"/>
    <w:rsid w:val="001437DF"/>
    <w:rsid w:val="00143E6B"/>
    <w:rsid w:val="00144958"/>
    <w:rsid w:val="00147BCF"/>
    <w:rsid w:val="00147D50"/>
    <w:rsid w:val="00147FE5"/>
    <w:rsid w:val="00151E56"/>
    <w:rsid w:val="00152B0E"/>
    <w:rsid w:val="001539C8"/>
    <w:rsid w:val="00153A3E"/>
    <w:rsid w:val="00154C38"/>
    <w:rsid w:val="001565D7"/>
    <w:rsid w:val="00156EE8"/>
    <w:rsid w:val="001612F0"/>
    <w:rsid w:val="0016246D"/>
    <w:rsid w:val="00162F6D"/>
    <w:rsid w:val="001650E6"/>
    <w:rsid w:val="0016583F"/>
    <w:rsid w:val="00165F2B"/>
    <w:rsid w:val="0017047E"/>
    <w:rsid w:val="00170B8D"/>
    <w:rsid w:val="0017380C"/>
    <w:rsid w:val="00173817"/>
    <w:rsid w:val="00174343"/>
    <w:rsid w:val="00174A01"/>
    <w:rsid w:val="001757DF"/>
    <w:rsid w:val="0017591D"/>
    <w:rsid w:val="0017785A"/>
    <w:rsid w:val="0018010D"/>
    <w:rsid w:val="00180260"/>
    <w:rsid w:val="001809C1"/>
    <w:rsid w:val="00180A92"/>
    <w:rsid w:val="00180BC9"/>
    <w:rsid w:val="00180F9F"/>
    <w:rsid w:val="001828FC"/>
    <w:rsid w:val="00182CBA"/>
    <w:rsid w:val="00183143"/>
    <w:rsid w:val="00185245"/>
    <w:rsid w:val="0018622F"/>
    <w:rsid w:val="00190C6A"/>
    <w:rsid w:val="001910DB"/>
    <w:rsid w:val="00192DAB"/>
    <w:rsid w:val="001936D1"/>
    <w:rsid w:val="00196721"/>
    <w:rsid w:val="00197E87"/>
    <w:rsid w:val="001A02DF"/>
    <w:rsid w:val="001A11C5"/>
    <w:rsid w:val="001A1AFF"/>
    <w:rsid w:val="001A2119"/>
    <w:rsid w:val="001A24FE"/>
    <w:rsid w:val="001A2C3B"/>
    <w:rsid w:val="001A36F1"/>
    <w:rsid w:val="001A388F"/>
    <w:rsid w:val="001A4D2B"/>
    <w:rsid w:val="001A5096"/>
    <w:rsid w:val="001A518D"/>
    <w:rsid w:val="001A5361"/>
    <w:rsid w:val="001A5B3B"/>
    <w:rsid w:val="001A6267"/>
    <w:rsid w:val="001A6558"/>
    <w:rsid w:val="001A6A49"/>
    <w:rsid w:val="001B05F6"/>
    <w:rsid w:val="001B2473"/>
    <w:rsid w:val="001B404D"/>
    <w:rsid w:val="001B6BA4"/>
    <w:rsid w:val="001B6E3F"/>
    <w:rsid w:val="001C0E03"/>
    <w:rsid w:val="001C1AD5"/>
    <w:rsid w:val="001C3971"/>
    <w:rsid w:val="001C65C5"/>
    <w:rsid w:val="001C7544"/>
    <w:rsid w:val="001D01AE"/>
    <w:rsid w:val="001D0ECC"/>
    <w:rsid w:val="001D1328"/>
    <w:rsid w:val="001D1BF8"/>
    <w:rsid w:val="001D24ED"/>
    <w:rsid w:val="001D33AC"/>
    <w:rsid w:val="001D340C"/>
    <w:rsid w:val="001D3DAA"/>
    <w:rsid w:val="001D3F11"/>
    <w:rsid w:val="001D4802"/>
    <w:rsid w:val="001D4DE7"/>
    <w:rsid w:val="001D593E"/>
    <w:rsid w:val="001D59F9"/>
    <w:rsid w:val="001D7C33"/>
    <w:rsid w:val="001E029A"/>
    <w:rsid w:val="001E1054"/>
    <w:rsid w:val="001E24CE"/>
    <w:rsid w:val="001E2A95"/>
    <w:rsid w:val="001F016E"/>
    <w:rsid w:val="001F1C85"/>
    <w:rsid w:val="001F1E29"/>
    <w:rsid w:val="001F2D03"/>
    <w:rsid w:val="001F2D23"/>
    <w:rsid w:val="001F382D"/>
    <w:rsid w:val="001F4D54"/>
    <w:rsid w:val="001F53FD"/>
    <w:rsid w:val="001F5547"/>
    <w:rsid w:val="001F623E"/>
    <w:rsid w:val="001F632A"/>
    <w:rsid w:val="00200C37"/>
    <w:rsid w:val="0020141E"/>
    <w:rsid w:val="00201E57"/>
    <w:rsid w:val="002044E6"/>
    <w:rsid w:val="00204B7A"/>
    <w:rsid w:val="00205B2F"/>
    <w:rsid w:val="00205DA1"/>
    <w:rsid w:val="00206DA2"/>
    <w:rsid w:val="002071A6"/>
    <w:rsid w:val="0020777E"/>
    <w:rsid w:val="00211201"/>
    <w:rsid w:val="0021184A"/>
    <w:rsid w:val="00211B11"/>
    <w:rsid w:val="00211BF1"/>
    <w:rsid w:val="00211E70"/>
    <w:rsid w:val="002135A6"/>
    <w:rsid w:val="00214A42"/>
    <w:rsid w:val="00214E16"/>
    <w:rsid w:val="00214E6B"/>
    <w:rsid w:val="0021515A"/>
    <w:rsid w:val="002152F5"/>
    <w:rsid w:val="00215B1B"/>
    <w:rsid w:val="00215E7E"/>
    <w:rsid w:val="00216B68"/>
    <w:rsid w:val="002172E1"/>
    <w:rsid w:val="00217466"/>
    <w:rsid w:val="002200B9"/>
    <w:rsid w:val="0022115F"/>
    <w:rsid w:val="002213E5"/>
    <w:rsid w:val="00222156"/>
    <w:rsid w:val="00222E56"/>
    <w:rsid w:val="0022436C"/>
    <w:rsid w:val="0022439B"/>
    <w:rsid w:val="002245C2"/>
    <w:rsid w:val="00224B43"/>
    <w:rsid w:val="00224FAE"/>
    <w:rsid w:val="002251F0"/>
    <w:rsid w:val="00226981"/>
    <w:rsid w:val="002273B5"/>
    <w:rsid w:val="0023018D"/>
    <w:rsid w:val="002303D2"/>
    <w:rsid w:val="00230FF9"/>
    <w:rsid w:val="002313CF"/>
    <w:rsid w:val="00231E3E"/>
    <w:rsid w:val="002321C3"/>
    <w:rsid w:val="00232741"/>
    <w:rsid w:val="002330A4"/>
    <w:rsid w:val="0023334C"/>
    <w:rsid w:val="00234575"/>
    <w:rsid w:val="00234B1F"/>
    <w:rsid w:val="0023576E"/>
    <w:rsid w:val="0023681E"/>
    <w:rsid w:val="00236D36"/>
    <w:rsid w:val="00237B26"/>
    <w:rsid w:val="002405F4"/>
    <w:rsid w:val="00240B59"/>
    <w:rsid w:val="00242DE7"/>
    <w:rsid w:val="00242F93"/>
    <w:rsid w:val="00250873"/>
    <w:rsid w:val="0025096B"/>
    <w:rsid w:val="00250D78"/>
    <w:rsid w:val="00251014"/>
    <w:rsid w:val="00251AED"/>
    <w:rsid w:val="00252235"/>
    <w:rsid w:val="00252291"/>
    <w:rsid w:val="00252CCB"/>
    <w:rsid w:val="002533A7"/>
    <w:rsid w:val="00253418"/>
    <w:rsid w:val="0025464C"/>
    <w:rsid w:val="002578B6"/>
    <w:rsid w:val="00261506"/>
    <w:rsid w:val="0026150A"/>
    <w:rsid w:val="0026235C"/>
    <w:rsid w:val="00262811"/>
    <w:rsid w:val="00262AA9"/>
    <w:rsid w:val="00262B39"/>
    <w:rsid w:val="002648BC"/>
    <w:rsid w:val="00266DC1"/>
    <w:rsid w:val="00267305"/>
    <w:rsid w:val="002675E8"/>
    <w:rsid w:val="00267B72"/>
    <w:rsid w:val="00270A32"/>
    <w:rsid w:val="00271502"/>
    <w:rsid w:val="00271BAE"/>
    <w:rsid w:val="00272100"/>
    <w:rsid w:val="0027446C"/>
    <w:rsid w:val="00274A66"/>
    <w:rsid w:val="00274D6A"/>
    <w:rsid w:val="00275D98"/>
    <w:rsid w:val="0027648D"/>
    <w:rsid w:val="0028172C"/>
    <w:rsid w:val="00282D51"/>
    <w:rsid w:val="00283793"/>
    <w:rsid w:val="00284247"/>
    <w:rsid w:val="00285D4C"/>
    <w:rsid w:val="00290049"/>
    <w:rsid w:val="00290668"/>
    <w:rsid w:val="00291FC1"/>
    <w:rsid w:val="002928A7"/>
    <w:rsid w:val="00292D63"/>
    <w:rsid w:val="00293E18"/>
    <w:rsid w:val="00294A2B"/>
    <w:rsid w:val="00294DCF"/>
    <w:rsid w:val="00295079"/>
    <w:rsid w:val="00295C3B"/>
    <w:rsid w:val="00295FED"/>
    <w:rsid w:val="00296118"/>
    <w:rsid w:val="002A0685"/>
    <w:rsid w:val="002A0A01"/>
    <w:rsid w:val="002A2037"/>
    <w:rsid w:val="002A4CE1"/>
    <w:rsid w:val="002A60F5"/>
    <w:rsid w:val="002A718F"/>
    <w:rsid w:val="002B1767"/>
    <w:rsid w:val="002B1B2F"/>
    <w:rsid w:val="002B2A12"/>
    <w:rsid w:val="002B358F"/>
    <w:rsid w:val="002B6354"/>
    <w:rsid w:val="002B6C6C"/>
    <w:rsid w:val="002B7D42"/>
    <w:rsid w:val="002C1B5E"/>
    <w:rsid w:val="002C2EF9"/>
    <w:rsid w:val="002C30AA"/>
    <w:rsid w:val="002C335C"/>
    <w:rsid w:val="002C3C2E"/>
    <w:rsid w:val="002C3C85"/>
    <w:rsid w:val="002C50F4"/>
    <w:rsid w:val="002C5DF2"/>
    <w:rsid w:val="002C6082"/>
    <w:rsid w:val="002C659A"/>
    <w:rsid w:val="002C6A89"/>
    <w:rsid w:val="002C6FC6"/>
    <w:rsid w:val="002D0975"/>
    <w:rsid w:val="002D1DD6"/>
    <w:rsid w:val="002D46AB"/>
    <w:rsid w:val="002D4B8E"/>
    <w:rsid w:val="002D5514"/>
    <w:rsid w:val="002D56C3"/>
    <w:rsid w:val="002D706A"/>
    <w:rsid w:val="002D70AB"/>
    <w:rsid w:val="002D72D5"/>
    <w:rsid w:val="002D78EC"/>
    <w:rsid w:val="002D7F82"/>
    <w:rsid w:val="002E0833"/>
    <w:rsid w:val="002E1280"/>
    <w:rsid w:val="002E16C7"/>
    <w:rsid w:val="002E2541"/>
    <w:rsid w:val="002E2F23"/>
    <w:rsid w:val="002E5B09"/>
    <w:rsid w:val="002E6936"/>
    <w:rsid w:val="002E7EAA"/>
    <w:rsid w:val="002F04CC"/>
    <w:rsid w:val="002F0AF8"/>
    <w:rsid w:val="002F10AD"/>
    <w:rsid w:val="002F1854"/>
    <w:rsid w:val="002F1977"/>
    <w:rsid w:val="002F4FFF"/>
    <w:rsid w:val="002F50A5"/>
    <w:rsid w:val="002F6570"/>
    <w:rsid w:val="002F673D"/>
    <w:rsid w:val="002F6935"/>
    <w:rsid w:val="002F71B0"/>
    <w:rsid w:val="002F7393"/>
    <w:rsid w:val="00301879"/>
    <w:rsid w:val="0030267B"/>
    <w:rsid w:val="00302AB5"/>
    <w:rsid w:val="00302C62"/>
    <w:rsid w:val="00304B6A"/>
    <w:rsid w:val="00310A08"/>
    <w:rsid w:val="00310E4C"/>
    <w:rsid w:val="00311BF2"/>
    <w:rsid w:val="0031264A"/>
    <w:rsid w:val="00312C37"/>
    <w:rsid w:val="003130CE"/>
    <w:rsid w:val="0031471F"/>
    <w:rsid w:val="00316D11"/>
    <w:rsid w:val="00322E15"/>
    <w:rsid w:val="00324252"/>
    <w:rsid w:val="003247BF"/>
    <w:rsid w:val="00324F7F"/>
    <w:rsid w:val="003250DD"/>
    <w:rsid w:val="00325C9F"/>
    <w:rsid w:val="00327212"/>
    <w:rsid w:val="00330458"/>
    <w:rsid w:val="003312FC"/>
    <w:rsid w:val="00332BCE"/>
    <w:rsid w:val="003333D4"/>
    <w:rsid w:val="00334231"/>
    <w:rsid w:val="00334722"/>
    <w:rsid w:val="003347D7"/>
    <w:rsid w:val="003352CB"/>
    <w:rsid w:val="0033629A"/>
    <w:rsid w:val="003364AA"/>
    <w:rsid w:val="0033673E"/>
    <w:rsid w:val="00337BAB"/>
    <w:rsid w:val="003406F4"/>
    <w:rsid w:val="00340C80"/>
    <w:rsid w:val="003424E7"/>
    <w:rsid w:val="0034274F"/>
    <w:rsid w:val="00342A8B"/>
    <w:rsid w:val="00343933"/>
    <w:rsid w:val="003453A8"/>
    <w:rsid w:val="0034631F"/>
    <w:rsid w:val="0035003B"/>
    <w:rsid w:val="00350804"/>
    <w:rsid w:val="0035199F"/>
    <w:rsid w:val="00354512"/>
    <w:rsid w:val="0035541A"/>
    <w:rsid w:val="00355EC8"/>
    <w:rsid w:val="00356104"/>
    <w:rsid w:val="003572F4"/>
    <w:rsid w:val="00357996"/>
    <w:rsid w:val="00357BBC"/>
    <w:rsid w:val="0036030F"/>
    <w:rsid w:val="00360E94"/>
    <w:rsid w:val="0036142E"/>
    <w:rsid w:val="003616D9"/>
    <w:rsid w:val="003618AC"/>
    <w:rsid w:val="00362BF8"/>
    <w:rsid w:val="00363654"/>
    <w:rsid w:val="00364121"/>
    <w:rsid w:val="00365D63"/>
    <w:rsid w:val="00366A1A"/>
    <w:rsid w:val="00366A4A"/>
    <w:rsid w:val="00366E09"/>
    <w:rsid w:val="003677E5"/>
    <w:rsid w:val="00372B4F"/>
    <w:rsid w:val="003757BE"/>
    <w:rsid w:val="00375E46"/>
    <w:rsid w:val="003761F0"/>
    <w:rsid w:val="00376695"/>
    <w:rsid w:val="003806BE"/>
    <w:rsid w:val="00383132"/>
    <w:rsid w:val="00383EC8"/>
    <w:rsid w:val="00384C6B"/>
    <w:rsid w:val="00387DBB"/>
    <w:rsid w:val="003918CD"/>
    <w:rsid w:val="0039377F"/>
    <w:rsid w:val="00393C6F"/>
    <w:rsid w:val="003942A8"/>
    <w:rsid w:val="0039522A"/>
    <w:rsid w:val="00396421"/>
    <w:rsid w:val="003970F1"/>
    <w:rsid w:val="003975D1"/>
    <w:rsid w:val="003A1441"/>
    <w:rsid w:val="003A1CFF"/>
    <w:rsid w:val="003A1D09"/>
    <w:rsid w:val="003A2436"/>
    <w:rsid w:val="003A4130"/>
    <w:rsid w:val="003A4344"/>
    <w:rsid w:val="003A677F"/>
    <w:rsid w:val="003A6EAA"/>
    <w:rsid w:val="003A7DC1"/>
    <w:rsid w:val="003B0019"/>
    <w:rsid w:val="003B1535"/>
    <w:rsid w:val="003B1D88"/>
    <w:rsid w:val="003B1F5B"/>
    <w:rsid w:val="003B278C"/>
    <w:rsid w:val="003B2D18"/>
    <w:rsid w:val="003B40A4"/>
    <w:rsid w:val="003B6E8B"/>
    <w:rsid w:val="003C0010"/>
    <w:rsid w:val="003C074F"/>
    <w:rsid w:val="003C0ACF"/>
    <w:rsid w:val="003C1E51"/>
    <w:rsid w:val="003C34EA"/>
    <w:rsid w:val="003C4E49"/>
    <w:rsid w:val="003C5198"/>
    <w:rsid w:val="003C51DD"/>
    <w:rsid w:val="003C602B"/>
    <w:rsid w:val="003C6B7D"/>
    <w:rsid w:val="003C6F5C"/>
    <w:rsid w:val="003C6FA1"/>
    <w:rsid w:val="003D092E"/>
    <w:rsid w:val="003D13CD"/>
    <w:rsid w:val="003D1B89"/>
    <w:rsid w:val="003D1BD7"/>
    <w:rsid w:val="003D1E9F"/>
    <w:rsid w:val="003D1F0B"/>
    <w:rsid w:val="003D2E75"/>
    <w:rsid w:val="003D4B58"/>
    <w:rsid w:val="003D6816"/>
    <w:rsid w:val="003D6BE0"/>
    <w:rsid w:val="003E0426"/>
    <w:rsid w:val="003E0AF1"/>
    <w:rsid w:val="003E19B5"/>
    <w:rsid w:val="003E22E2"/>
    <w:rsid w:val="003E2A0D"/>
    <w:rsid w:val="003E2B56"/>
    <w:rsid w:val="003E2C87"/>
    <w:rsid w:val="003E30E3"/>
    <w:rsid w:val="003E55E6"/>
    <w:rsid w:val="003E5895"/>
    <w:rsid w:val="003E63B8"/>
    <w:rsid w:val="003E7653"/>
    <w:rsid w:val="003E7C27"/>
    <w:rsid w:val="003F0054"/>
    <w:rsid w:val="003F074F"/>
    <w:rsid w:val="003F19B6"/>
    <w:rsid w:val="003F276B"/>
    <w:rsid w:val="003F286D"/>
    <w:rsid w:val="003F3BE9"/>
    <w:rsid w:val="003F4852"/>
    <w:rsid w:val="003F6214"/>
    <w:rsid w:val="003F6607"/>
    <w:rsid w:val="003F6D5A"/>
    <w:rsid w:val="00400AA0"/>
    <w:rsid w:val="004013FB"/>
    <w:rsid w:val="004039ED"/>
    <w:rsid w:val="0040474E"/>
    <w:rsid w:val="00405CDE"/>
    <w:rsid w:val="00406BE4"/>
    <w:rsid w:val="00407027"/>
    <w:rsid w:val="004124B8"/>
    <w:rsid w:val="00413B8C"/>
    <w:rsid w:val="00414274"/>
    <w:rsid w:val="00414725"/>
    <w:rsid w:val="00414D4F"/>
    <w:rsid w:val="00414F17"/>
    <w:rsid w:val="0041516D"/>
    <w:rsid w:val="004154CC"/>
    <w:rsid w:val="004156D7"/>
    <w:rsid w:val="00415E51"/>
    <w:rsid w:val="00416799"/>
    <w:rsid w:val="00416FF5"/>
    <w:rsid w:val="004213BC"/>
    <w:rsid w:val="00422A0E"/>
    <w:rsid w:val="00423274"/>
    <w:rsid w:val="00423637"/>
    <w:rsid w:val="00423D9A"/>
    <w:rsid w:val="00424970"/>
    <w:rsid w:val="0042503F"/>
    <w:rsid w:val="00425196"/>
    <w:rsid w:val="0042533B"/>
    <w:rsid w:val="00425E44"/>
    <w:rsid w:val="00426D45"/>
    <w:rsid w:val="00427D8D"/>
    <w:rsid w:val="0043139A"/>
    <w:rsid w:val="0043182D"/>
    <w:rsid w:val="00432001"/>
    <w:rsid w:val="004327EE"/>
    <w:rsid w:val="00433196"/>
    <w:rsid w:val="00434798"/>
    <w:rsid w:val="004349F4"/>
    <w:rsid w:val="00436C44"/>
    <w:rsid w:val="004372B3"/>
    <w:rsid w:val="00437456"/>
    <w:rsid w:val="00440354"/>
    <w:rsid w:val="00440360"/>
    <w:rsid w:val="004404F2"/>
    <w:rsid w:val="00440A0E"/>
    <w:rsid w:val="0044157E"/>
    <w:rsid w:val="004463F4"/>
    <w:rsid w:val="0044652E"/>
    <w:rsid w:val="00447BA0"/>
    <w:rsid w:val="00450214"/>
    <w:rsid w:val="00450905"/>
    <w:rsid w:val="00450B4C"/>
    <w:rsid w:val="00451DA7"/>
    <w:rsid w:val="004521AD"/>
    <w:rsid w:val="00452EB1"/>
    <w:rsid w:val="00453F34"/>
    <w:rsid w:val="00454E02"/>
    <w:rsid w:val="0045758F"/>
    <w:rsid w:val="004576AF"/>
    <w:rsid w:val="0045779E"/>
    <w:rsid w:val="00460837"/>
    <w:rsid w:val="00461F54"/>
    <w:rsid w:val="00462142"/>
    <w:rsid w:val="004626BE"/>
    <w:rsid w:val="004637A7"/>
    <w:rsid w:val="00463DB1"/>
    <w:rsid w:val="0046486F"/>
    <w:rsid w:val="00464D6A"/>
    <w:rsid w:val="004657B6"/>
    <w:rsid w:val="00470280"/>
    <w:rsid w:val="004703E9"/>
    <w:rsid w:val="00470887"/>
    <w:rsid w:val="00471EC7"/>
    <w:rsid w:val="0047200B"/>
    <w:rsid w:val="00472433"/>
    <w:rsid w:val="004725B7"/>
    <w:rsid w:val="00474382"/>
    <w:rsid w:val="0047484A"/>
    <w:rsid w:val="00475D6B"/>
    <w:rsid w:val="004773B7"/>
    <w:rsid w:val="00477748"/>
    <w:rsid w:val="00477AAA"/>
    <w:rsid w:val="00477F4C"/>
    <w:rsid w:val="00480D45"/>
    <w:rsid w:val="004848E9"/>
    <w:rsid w:val="00484CD6"/>
    <w:rsid w:val="00486421"/>
    <w:rsid w:val="00491C85"/>
    <w:rsid w:val="004941D0"/>
    <w:rsid w:val="00494210"/>
    <w:rsid w:val="00495156"/>
    <w:rsid w:val="004952A3"/>
    <w:rsid w:val="00495992"/>
    <w:rsid w:val="00495CA3"/>
    <w:rsid w:val="004960B1"/>
    <w:rsid w:val="004960CD"/>
    <w:rsid w:val="00496483"/>
    <w:rsid w:val="00497086"/>
    <w:rsid w:val="0049746D"/>
    <w:rsid w:val="00497A8C"/>
    <w:rsid w:val="004A020F"/>
    <w:rsid w:val="004A1380"/>
    <w:rsid w:val="004A3CF1"/>
    <w:rsid w:val="004A3ECA"/>
    <w:rsid w:val="004A3EDB"/>
    <w:rsid w:val="004A507E"/>
    <w:rsid w:val="004A54B9"/>
    <w:rsid w:val="004A763B"/>
    <w:rsid w:val="004A7948"/>
    <w:rsid w:val="004B21F0"/>
    <w:rsid w:val="004B3434"/>
    <w:rsid w:val="004B4A49"/>
    <w:rsid w:val="004B5AC5"/>
    <w:rsid w:val="004C098A"/>
    <w:rsid w:val="004C1A5B"/>
    <w:rsid w:val="004C1EB1"/>
    <w:rsid w:val="004C224D"/>
    <w:rsid w:val="004C247C"/>
    <w:rsid w:val="004C2786"/>
    <w:rsid w:val="004C2C71"/>
    <w:rsid w:val="004C37E5"/>
    <w:rsid w:val="004C40F2"/>
    <w:rsid w:val="004C490A"/>
    <w:rsid w:val="004C501F"/>
    <w:rsid w:val="004C5E41"/>
    <w:rsid w:val="004C74BC"/>
    <w:rsid w:val="004D0835"/>
    <w:rsid w:val="004D0A6A"/>
    <w:rsid w:val="004D11AB"/>
    <w:rsid w:val="004D4F37"/>
    <w:rsid w:val="004D548D"/>
    <w:rsid w:val="004D5813"/>
    <w:rsid w:val="004D5A99"/>
    <w:rsid w:val="004D5ED7"/>
    <w:rsid w:val="004D6212"/>
    <w:rsid w:val="004D766C"/>
    <w:rsid w:val="004E068C"/>
    <w:rsid w:val="004E13D2"/>
    <w:rsid w:val="004E15CD"/>
    <w:rsid w:val="004E1A83"/>
    <w:rsid w:val="004E1E8E"/>
    <w:rsid w:val="004E2FB5"/>
    <w:rsid w:val="004E426C"/>
    <w:rsid w:val="004E4ECC"/>
    <w:rsid w:val="004E6EEB"/>
    <w:rsid w:val="004E709B"/>
    <w:rsid w:val="004F0DBE"/>
    <w:rsid w:val="004F1438"/>
    <w:rsid w:val="004F1CA5"/>
    <w:rsid w:val="004F2104"/>
    <w:rsid w:val="004F2308"/>
    <w:rsid w:val="004F23DE"/>
    <w:rsid w:val="004F28AD"/>
    <w:rsid w:val="004F2C75"/>
    <w:rsid w:val="004F371B"/>
    <w:rsid w:val="004F3DB1"/>
    <w:rsid w:val="004F3EA0"/>
    <w:rsid w:val="004F418A"/>
    <w:rsid w:val="004F422D"/>
    <w:rsid w:val="004F58D2"/>
    <w:rsid w:val="004F6D6D"/>
    <w:rsid w:val="004F71F9"/>
    <w:rsid w:val="004F7A40"/>
    <w:rsid w:val="004F7F44"/>
    <w:rsid w:val="005016CC"/>
    <w:rsid w:val="0050284E"/>
    <w:rsid w:val="005031A7"/>
    <w:rsid w:val="005047D9"/>
    <w:rsid w:val="00505531"/>
    <w:rsid w:val="00507B92"/>
    <w:rsid w:val="005131A4"/>
    <w:rsid w:val="00513F9D"/>
    <w:rsid w:val="0051479B"/>
    <w:rsid w:val="00514F47"/>
    <w:rsid w:val="0051557F"/>
    <w:rsid w:val="00515BC0"/>
    <w:rsid w:val="005162DF"/>
    <w:rsid w:val="005172ED"/>
    <w:rsid w:val="005174B0"/>
    <w:rsid w:val="00520BD1"/>
    <w:rsid w:val="005212C2"/>
    <w:rsid w:val="005226E8"/>
    <w:rsid w:val="005227A9"/>
    <w:rsid w:val="00526448"/>
    <w:rsid w:val="00526E79"/>
    <w:rsid w:val="00530642"/>
    <w:rsid w:val="005309C5"/>
    <w:rsid w:val="00530C80"/>
    <w:rsid w:val="00530E23"/>
    <w:rsid w:val="005311C0"/>
    <w:rsid w:val="005335A8"/>
    <w:rsid w:val="00533BA1"/>
    <w:rsid w:val="005347B2"/>
    <w:rsid w:val="00535685"/>
    <w:rsid w:val="00536D82"/>
    <w:rsid w:val="00537B3B"/>
    <w:rsid w:val="005403F4"/>
    <w:rsid w:val="0054083D"/>
    <w:rsid w:val="005429AE"/>
    <w:rsid w:val="00543F9B"/>
    <w:rsid w:val="00545340"/>
    <w:rsid w:val="005475AD"/>
    <w:rsid w:val="00550760"/>
    <w:rsid w:val="00550B8A"/>
    <w:rsid w:val="00550F06"/>
    <w:rsid w:val="00552B5A"/>
    <w:rsid w:val="00552ED9"/>
    <w:rsid w:val="00554195"/>
    <w:rsid w:val="005559C3"/>
    <w:rsid w:val="00555C43"/>
    <w:rsid w:val="00555DEC"/>
    <w:rsid w:val="00556FF4"/>
    <w:rsid w:val="00557825"/>
    <w:rsid w:val="00557993"/>
    <w:rsid w:val="00557B22"/>
    <w:rsid w:val="00560E81"/>
    <w:rsid w:val="005611C8"/>
    <w:rsid w:val="00561762"/>
    <w:rsid w:val="00561F14"/>
    <w:rsid w:val="00561FA7"/>
    <w:rsid w:val="0056667F"/>
    <w:rsid w:val="00567D51"/>
    <w:rsid w:val="005704C3"/>
    <w:rsid w:val="005707D0"/>
    <w:rsid w:val="005715CB"/>
    <w:rsid w:val="00571E13"/>
    <w:rsid w:val="005740ED"/>
    <w:rsid w:val="005745A3"/>
    <w:rsid w:val="00575270"/>
    <w:rsid w:val="00575B86"/>
    <w:rsid w:val="00576DC6"/>
    <w:rsid w:val="00577598"/>
    <w:rsid w:val="00577BD5"/>
    <w:rsid w:val="0058185B"/>
    <w:rsid w:val="00582B3E"/>
    <w:rsid w:val="00583AA7"/>
    <w:rsid w:val="00583B8C"/>
    <w:rsid w:val="00583BC4"/>
    <w:rsid w:val="00583D41"/>
    <w:rsid w:val="00583DCC"/>
    <w:rsid w:val="00584B03"/>
    <w:rsid w:val="00585BDF"/>
    <w:rsid w:val="0059054E"/>
    <w:rsid w:val="00590731"/>
    <w:rsid w:val="0059090A"/>
    <w:rsid w:val="00590A3E"/>
    <w:rsid w:val="00591C09"/>
    <w:rsid w:val="00591EA8"/>
    <w:rsid w:val="005920D3"/>
    <w:rsid w:val="00593AC2"/>
    <w:rsid w:val="00595427"/>
    <w:rsid w:val="00595C4C"/>
    <w:rsid w:val="005965BF"/>
    <w:rsid w:val="005A0B87"/>
    <w:rsid w:val="005A3185"/>
    <w:rsid w:val="005A3D67"/>
    <w:rsid w:val="005A414F"/>
    <w:rsid w:val="005A4257"/>
    <w:rsid w:val="005A62C4"/>
    <w:rsid w:val="005B0313"/>
    <w:rsid w:val="005B25FE"/>
    <w:rsid w:val="005B262D"/>
    <w:rsid w:val="005B5292"/>
    <w:rsid w:val="005B52FF"/>
    <w:rsid w:val="005B5871"/>
    <w:rsid w:val="005B67EC"/>
    <w:rsid w:val="005B70F7"/>
    <w:rsid w:val="005C0D7B"/>
    <w:rsid w:val="005C1FA2"/>
    <w:rsid w:val="005C27DD"/>
    <w:rsid w:val="005C292F"/>
    <w:rsid w:val="005C2B15"/>
    <w:rsid w:val="005C3C64"/>
    <w:rsid w:val="005C3F6E"/>
    <w:rsid w:val="005C4347"/>
    <w:rsid w:val="005C5414"/>
    <w:rsid w:val="005C6909"/>
    <w:rsid w:val="005C71A8"/>
    <w:rsid w:val="005C7D57"/>
    <w:rsid w:val="005C7D5A"/>
    <w:rsid w:val="005D0499"/>
    <w:rsid w:val="005D0A10"/>
    <w:rsid w:val="005D0C86"/>
    <w:rsid w:val="005D1F25"/>
    <w:rsid w:val="005D1F6E"/>
    <w:rsid w:val="005D27CB"/>
    <w:rsid w:val="005D2CAB"/>
    <w:rsid w:val="005D3122"/>
    <w:rsid w:val="005D3886"/>
    <w:rsid w:val="005D4507"/>
    <w:rsid w:val="005D4FFF"/>
    <w:rsid w:val="005D5237"/>
    <w:rsid w:val="005D539C"/>
    <w:rsid w:val="005D5440"/>
    <w:rsid w:val="005D6E5B"/>
    <w:rsid w:val="005D6FFA"/>
    <w:rsid w:val="005D7A80"/>
    <w:rsid w:val="005E0388"/>
    <w:rsid w:val="005E0670"/>
    <w:rsid w:val="005E0E81"/>
    <w:rsid w:val="005E13D1"/>
    <w:rsid w:val="005E1E61"/>
    <w:rsid w:val="005E2C6A"/>
    <w:rsid w:val="005E36EC"/>
    <w:rsid w:val="005E4E67"/>
    <w:rsid w:val="005E51CC"/>
    <w:rsid w:val="005E6F5E"/>
    <w:rsid w:val="005E76A6"/>
    <w:rsid w:val="005E7792"/>
    <w:rsid w:val="005F07E8"/>
    <w:rsid w:val="005F11F6"/>
    <w:rsid w:val="005F2D2E"/>
    <w:rsid w:val="005F4938"/>
    <w:rsid w:val="005F55C2"/>
    <w:rsid w:val="005F56B3"/>
    <w:rsid w:val="005F6C39"/>
    <w:rsid w:val="00602041"/>
    <w:rsid w:val="0060259E"/>
    <w:rsid w:val="00602866"/>
    <w:rsid w:val="00602C17"/>
    <w:rsid w:val="00603389"/>
    <w:rsid w:val="0060365D"/>
    <w:rsid w:val="00603F53"/>
    <w:rsid w:val="006050AD"/>
    <w:rsid w:val="00605188"/>
    <w:rsid w:val="00605D76"/>
    <w:rsid w:val="006062B9"/>
    <w:rsid w:val="00606B43"/>
    <w:rsid w:val="0061055E"/>
    <w:rsid w:val="00610606"/>
    <w:rsid w:val="006107FA"/>
    <w:rsid w:val="0061164C"/>
    <w:rsid w:val="0061400E"/>
    <w:rsid w:val="0061421E"/>
    <w:rsid w:val="00614951"/>
    <w:rsid w:val="00615982"/>
    <w:rsid w:val="00615C1A"/>
    <w:rsid w:val="00615D20"/>
    <w:rsid w:val="00616B7A"/>
    <w:rsid w:val="00617641"/>
    <w:rsid w:val="00620C72"/>
    <w:rsid w:val="00621718"/>
    <w:rsid w:val="006241E8"/>
    <w:rsid w:val="006249D6"/>
    <w:rsid w:val="00624B4A"/>
    <w:rsid w:val="006264DA"/>
    <w:rsid w:val="0062715A"/>
    <w:rsid w:val="006311FB"/>
    <w:rsid w:val="006312C0"/>
    <w:rsid w:val="00631966"/>
    <w:rsid w:val="006320EE"/>
    <w:rsid w:val="006321FA"/>
    <w:rsid w:val="00633227"/>
    <w:rsid w:val="00633B4B"/>
    <w:rsid w:val="00635AF7"/>
    <w:rsid w:val="00635C88"/>
    <w:rsid w:val="00636355"/>
    <w:rsid w:val="006365C1"/>
    <w:rsid w:val="006366A8"/>
    <w:rsid w:val="00636B5A"/>
    <w:rsid w:val="00636E7A"/>
    <w:rsid w:val="006373C4"/>
    <w:rsid w:val="0064029A"/>
    <w:rsid w:val="0064047D"/>
    <w:rsid w:val="006404E6"/>
    <w:rsid w:val="006405C1"/>
    <w:rsid w:val="00640A47"/>
    <w:rsid w:val="00642F42"/>
    <w:rsid w:val="00644469"/>
    <w:rsid w:val="006456A5"/>
    <w:rsid w:val="00646023"/>
    <w:rsid w:val="00647144"/>
    <w:rsid w:val="006472B6"/>
    <w:rsid w:val="00647586"/>
    <w:rsid w:val="00647958"/>
    <w:rsid w:val="00647A68"/>
    <w:rsid w:val="0065050E"/>
    <w:rsid w:val="00651874"/>
    <w:rsid w:val="00651F36"/>
    <w:rsid w:val="006540F9"/>
    <w:rsid w:val="00654275"/>
    <w:rsid w:val="00654E0D"/>
    <w:rsid w:val="00654F7F"/>
    <w:rsid w:val="00655D22"/>
    <w:rsid w:val="00656991"/>
    <w:rsid w:val="00656B8B"/>
    <w:rsid w:val="00657829"/>
    <w:rsid w:val="00661AA9"/>
    <w:rsid w:val="006625C8"/>
    <w:rsid w:val="00662A5E"/>
    <w:rsid w:val="00662D41"/>
    <w:rsid w:val="0066340C"/>
    <w:rsid w:val="006636B2"/>
    <w:rsid w:val="00663F8C"/>
    <w:rsid w:val="00665450"/>
    <w:rsid w:val="006663A1"/>
    <w:rsid w:val="00666F7C"/>
    <w:rsid w:val="006671D6"/>
    <w:rsid w:val="00667465"/>
    <w:rsid w:val="0066798A"/>
    <w:rsid w:val="0067033C"/>
    <w:rsid w:val="00672121"/>
    <w:rsid w:val="006721C6"/>
    <w:rsid w:val="0067476A"/>
    <w:rsid w:val="00674A28"/>
    <w:rsid w:val="00676701"/>
    <w:rsid w:val="006777D2"/>
    <w:rsid w:val="00677915"/>
    <w:rsid w:val="0068003F"/>
    <w:rsid w:val="006801DF"/>
    <w:rsid w:val="0068090B"/>
    <w:rsid w:val="00680AF3"/>
    <w:rsid w:val="00680BDC"/>
    <w:rsid w:val="006813A9"/>
    <w:rsid w:val="006819FB"/>
    <w:rsid w:val="00682D7F"/>
    <w:rsid w:val="00683FB3"/>
    <w:rsid w:val="0068519F"/>
    <w:rsid w:val="006855F3"/>
    <w:rsid w:val="0069068D"/>
    <w:rsid w:val="0069239E"/>
    <w:rsid w:val="006925F0"/>
    <w:rsid w:val="006940DE"/>
    <w:rsid w:val="0069578D"/>
    <w:rsid w:val="00695D3E"/>
    <w:rsid w:val="00696054"/>
    <w:rsid w:val="006962CA"/>
    <w:rsid w:val="00696AC8"/>
    <w:rsid w:val="00697322"/>
    <w:rsid w:val="0069739E"/>
    <w:rsid w:val="00697D83"/>
    <w:rsid w:val="006A179A"/>
    <w:rsid w:val="006A354B"/>
    <w:rsid w:val="006A3763"/>
    <w:rsid w:val="006A3A33"/>
    <w:rsid w:val="006A469A"/>
    <w:rsid w:val="006A4F2D"/>
    <w:rsid w:val="006A6321"/>
    <w:rsid w:val="006A6364"/>
    <w:rsid w:val="006A7766"/>
    <w:rsid w:val="006A79C7"/>
    <w:rsid w:val="006B0EB2"/>
    <w:rsid w:val="006B22C8"/>
    <w:rsid w:val="006B23BE"/>
    <w:rsid w:val="006B29CB"/>
    <w:rsid w:val="006B35E1"/>
    <w:rsid w:val="006B3B57"/>
    <w:rsid w:val="006B3E18"/>
    <w:rsid w:val="006B3F09"/>
    <w:rsid w:val="006B4892"/>
    <w:rsid w:val="006B6665"/>
    <w:rsid w:val="006C024C"/>
    <w:rsid w:val="006C0ED7"/>
    <w:rsid w:val="006C157B"/>
    <w:rsid w:val="006C1A15"/>
    <w:rsid w:val="006C1D77"/>
    <w:rsid w:val="006C6AEB"/>
    <w:rsid w:val="006C7113"/>
    <w:rsid w:val="006D134C"/>
    <w:rsid w:val="006D1696"/>
    <w:rsid w:val="006D1848"/>
    <w:rsid w:val="006D1CB8"/>
    <w:rsid w:val="006D40C5"/>
    <w:rsid w:val="006D44EB"/>
    <w:rsid w:val="006D61E8"/>
    <w:rsid w:val="006E02D8"/>
    <w:rsid w:val="006E056F"/>
    <w:rsid w:val="006E2CF0"/>
    <w:rsid w:val="006E4DE6"/>
    <w:rsid w:val="006E5012"/>
    <w:rsid w:val="006E5C0C"/>
    <w:rsid w:val="006E61D5"/>
    <w:rsid w:val="006E6896"/>
    <w:rsid w:val="006E6ED4"/>
    <w:rsid w:val="006E742F"/>
    <w:rsid w:val="006E74F9"/>
    <w:rsid w:val="006E7E15"/>
    <w:rsid w:val="006E7EE5"/>
    <w:rsid w:val="006F09A9"/>
    <w:rsid w:val="006F10ED"/>
    <w:rsid w:val="006F13B7"/>
    <w:rsid w:val="006F1542"/>
    <w:rsid w:val="006F26F5"/>
    <w:rsid w:val="006F296F"/>
    <w:rsid w:val="006F33A8"/>
    <w:rsid w:val="006F3B32"/>
    <w:rsid w:val="006F3C64"/>
    <w:rsid w:val="006F404C"/>
    <w:rsid w:val="006F4168"/>
    <w:rsid w:val="006F43E9"/>
    <w:rsid w:val="006F528A"/>
    <w:rsid w:val="006F54A5"/>
    <w:rsid w:val="006F55AC"/>
    <w:rsid w:val="006F56B3"/>
    <w:rsid w:val="006F59C0"/>
    <w:rsid w:val="006F5B18"/>
    <w:rsid w:val="006F6B5F"/>
    <w:rsid w:val="00700DD2"/>
    <w:rsid w:val="007014FC"/>
    <w:rsid w:val="0070154C"/>
    <w:rsid w:val="00701E1A"/>
    <w:rsid w:val="00703678"/>
    <w:rsid w:val="00703695"/>
    <w:rsid w:val="00704406"/>
    <w:rsid w:val="00704D5D"/>
    <w:rsid w:val="0070553F"/>
    <w:rsid w:val="00705BD7"/>
    <w:rsid w:val="00705EAC"/>
    <w:rsid w:val="00706F8D"/>
    <w:rsid w:val="00707EE6"/>
    <w:rsid w:val="00712C69"/>
    <w:rsid w:val="00713CF4"/>
    <w:rsid w:val="007158FB"/>
    <w:rsid w:val="00720ED3"/>
    <w:rsid w:val="0072390C"/>
    <w:rsid w:val="00723D43"/>
    <w:rsid w:val="00724403"/>
    <w:rsid w:val="00724878"/>
    <w:rsid w:val="00724973"/>
    <w:rsid w:val="00724B72"/>
    <w:rsid w:val="00724EBC"/>
    <w:rsid w:val="00725292"/>
    <w:rsid w:val="007254E4"/>
    <w:rsid w:val="00725BF5"/>
    <w:rsid w:val="0072652C"/>
    <w:rsid w:val="00726530"/>
    <w:rsid w:val="007279BE"/>
    <w:rsid w:val="00730981"/>
    <w:rsid w:val="007309F8"/>
    <w:rsid w:val="00730F66"/>
    <w:rsid w:val="00731198"/>
    <w:rsid w:val="0073158A"/>
    <w:rsid w:val="00733030"/>
    <w:rsid w:val="0073324B"/>
    <w:rsid w:val="00733879"/>
    <w:rsid w:val="00733B7F"/>
    <w:rsid w:val="00736485"/>
    <w:rsid w:val="00740253"/>
    <w:rsid w:val="00740E12"/>
    <w:rsid w:val="00741552"/>
    <w:rsid w:val="007415BC"/>
    <w:rsid w:val="007420F5"/>
    <w:rsid w:val="007430D2"/>
    <w:rsid w:val="007435D2"/>
    <w:rsid w:val="0074392A"/>
    <w:rsid w:val="00743B54"/>
    <w:rsid w:val="00744BD2"/>
    <w:rsid w:val="00744DEE"/>
    <w:rsid w:val="00746091"/>
    <w:rsid w:val="00750CC5"/>
    <w:rsid w:val="00752661"/>
    <w:rsid w:val="00752BC4"/>
    <w:rsid w:val="00754A29"/>
    <w:rsid w:val="00754E2A"/>
    <w:rsid w:val="00755534"/>
    <w:rsid w:val="00755847"/>
    <w:rsid w:val="007559B7"/>
    <w:rsid w:val="00756BE8"/>
    <w:rsid w:val="00756EDC"/>
    <w:rsid w:val="00762D54"/>
    <w:rsid w:val="00762FFB"/>
    <w:rsid w:val="00764B81"/>
    <w:rsid w:val="00764E58"/>
    <w:rsid w:val="007663D1"/>
    <w:rsid w:val="00766B10"/>
    <w:rsid w:val="0077202D"/>
    <w:rsid w:val="00772813"/>
    <w:rsid w:val="00773959"/>
    <w:rsid w:val="00775274"/>
    <w:rsid w:val="0077647C"/>
    <w:rsid w:val="00776D35"/>
    <w:rsid w:val="00780604"/>
    <w:rsid w:val="00780AD6"/>
    <w:rsid w:val="00780C46"/>
    <w:rsid w:val="00780DC2"/>
    <w:rsid w:val="00780F96"/>
    <w:rsid w:val="0078100E"/>
    <w:rsid w:val="0078156A"/>
    <w:rsid w:val="0078158B"/>
    <w:rsid w:val="00782029"/>
    <w:rsid w:val="00782C66"/>
    <w:rsid w:val="00782F6D"/>
    <w:rsid w:val="007836AC"/>
    <w:rsid w:val="00784A5A"/>
    <w:rsid w:val="00784F1E"/>
    <w:rsid w:val="00785710"/>
    <w:rsid w:val="00785F78"/>
    <w:rsid w:val="00786019"/>
    <w:rsid w:val="00786025"/>
    <w:rsid w:val="00790080"/>
    <w:rsid w:val="00791B71"/>
    <w:rsid w:val="00792643"/>
    <w:rsid w:val="0079419B"/>
    <w:rsid w:val="007946D2"/>
    <w:rsid w:val="0079684E"/>
    <w:rsid w:val="00797DC7"/>
    <w:rsid w:val="00797E64"/>
    <w:rsid w:val="007A058D"/>
    <w:rsid w:val="007A1204"/>
    <w:rsid w:val="007A301D"/>
    <w:rsid w:val="007A40EE"/>
    <w:rsid w:val="007A4835"/>
    <w:rsid w:val="007A50A2"/>
    <w:rsid w:val="007A61C3"/>
    <w:rsid w:val="007B068C"/>
    <w:rsid w:val="007B1EBC"/>
    <w:rsid w:val="007B30D1"/>
    <w:rsid w:val="007B3B30"/>
    <w:rsid w:val="007B43B6"/>
    <w:rsid w:val="007B503A"/>
    <w:rsid w:val="007B50E5"/>
    <w:rsid w:val="007B57A5"/>
    <w:rsid w:val="007B7D66"/>
    <w:rsid w:val="007B7F1F"/>
    <w:rsid w:val="007C16B8"/>
    <w:rsid w:val="007C2529"/>
    <w:rsid w:val="007C313C"/>
    <w:rsid w:val="007C528F"/>
    <w:rsid w:val="007C56F1"/>
    <w:rsid w:val="007C7B60"/>
    <w:rsid w:val="007D0D24"/>
    <w:rsid w:val="007D23E9"/>
    <w:rsid w:val="007D2C1E"/>
    <w:rsid w:val="007D2DCE"/>
    <w:rsid w:val="007D42AD"/>
    <w:rsid w:val="007D5C00"/>
    <w:rsid w:val="007D7943"/>
    <w:rsid w:val="007D7C97"/>
    <w:rsid w:val="007E1130"/>
    <w:rsid w:val="007E16D3"/>
    <w:rsid w:val="007E2C29"/>
    <w:rsid w:val="007E455B"/>
    <w:rsid w:val="007E522D"/>
    <w:rsid w:val="007E5ACC"/>
    <w:rsid w:val="007E5D04"/>
    <w:rsid w:val="007E5DE5"/>
    <w:rsid w:val="007E7379"/>
    <w:rsid w:val="007E779A"/>
    <w:rsid w:val="007F05F8"/>
    <w:rsid w:val="007F18FC"/>
    <w:rsid w:val="007F1913"/>
    <w:rsid w:val="007F2BEB"/>
    <w:rsid w:val="007F35B6"/>
    <w:rsid w:val="007F36E5"/>
    <w:rsid w:val="007F4C1E"/>
    <w:rsid w:val="007F5041"/>
    <w:rsid w:val="007F7051"/>
    <w:rsid w:val="007F71DE"/>
    <w:rsid w:val="007F72E7"/>
    <w:rsid w:val="007F7BB0"/>
    <w:rsid w:val="00800A92"/>
    <w:rsid w:val="00800E07"/>
    <w:rsid w:val="00801ED6"/>
    <w:rsid w:val="00803554"/>
    <w:rsid w:val="00804DDF"/>
    <w:rsid w:val="0080530C"/>
    <w:rsid w:val="00805900"/>
    <w:rsid w:val="0081024E"/>
    <w:rsid w:val="00810323"/>
    <w:rsid w:val="00810781"/>
    <w:rsid w:val="00811A97"/>
    <w:rsid w:val="00812FD9"/>
    <w:rsid w:val="008150FE"/>
    <w:rsid w:val="008152DF"/>
    <w:rsid w:val="00816725"/>
    <w:rsid w:val="008167A6"/>
    <w:rsid w:val="00817310"/>
    <w:rsid w:val="008175D0"/>
    <w:rsid w:val="0082005A"/>
    <w:rsid w:val="00820B4C"/>
    <w:rsid w:val="008217D3"/>
    <w:rsid w:val="0082203C"/>
    <w:rsid w:val="008223B5"/>
    <w:rsid w:val="008225A7"/>
    <w:rsid w:val="00830295"/>
    <w:rsid w:val="00830D74"/>
    <w:rsid w:val="00831DED"/>
    <w:rsid w:val="00833D95"/>
    <w:rsid w:val="00835031"/>
    <w:rsid w:val="00835328"/>
    <w:rsid w:val="008358C3"/>
    <w:rsid w:val="00836805"/>
    <w:rsid w:val="008404D7"/>
    <w:rsid w:val="00841C9F"/>
    <w:rsid w:val="008428B0"/>
    <w:rsid w:val="00842D0F"/>
    <w:rsid w:val="00843E65"/>
    <w:rsid w:val="00844F94"/>
    <w:rsid w:val="008454C1"/>
    <w:rsid w:val="00845B72"/>
    <w:rsid w:val="0084637F"/>
    <w:rsid w:val="008469BE"/>
    <w:rsid w:val="0084700A"/>
    <w:rsid w:val="00850215"/>
    <w:rsid w:val="00850F78"/>
    <w:rsid w:val="008526D5"/>
    <w:rsid w:val="00852D05"/>
    <w:rsid w:val="008535A5"/>
    <w:rsid w:val="00853FA4"/>
    <w:rsid w:val="008544E6"/>
    <w:rsid w:val="0085573B"/>
    <w:rsid w:val="00855C73"/>
    <w:rsid w:val="00856E3F"/>
    <w:rsid w:val="00857181"/>
    <w:rsid w:val="00860350"/>
    <w:rsid w:val="00860F7F"/>
    <w:rsid w:val="0086109A"/>
    <w:rsid w:val="00861D07"/>
    <w:rsid w:val="00863096"/>
    <w:rsid w:val="00863503"/>
    <w:rsid w:val="008637CE"/>
    <w:rsid w:val="008643BE"/>
    <w:rsid w:val="0086535F"/>
    <w:rsid w:val="00866275"/>
    <w:rsid w:val="0086776F"/>
    <w:rsid w:val="0087085B"/>
    <w:rsid w:val="00871B37"/>
    <w:rsid w:val="00872314"/>
    <w:rsid w:val="0087430D"/>
    <w:rsid w:val="00875678"/>
    <w:rsid w:val="008771D0"/>
    <w:rsid w:val="00877D6F"/>
    <w:rsid w:val="00877EFC"/>
    <w:rsid w:val="0088178B"/>
    <w:rsid w:val="0088232F"/>
    <w:rsid w:val="00883AB0"/>
    <w:rsid w:val="00884114"/>
    <w:rsid w:val="00885648"/>
    <w:rsid w:val="0088664D"/>
    <w:rsid w:val="00886865"/>
    <w:rsid w:val="008876DB"/>
    <w:rsid w:val="00887CC0"/>
    <w:rsid w:val="0089113E"/>
    <w:rsid w:val="00891BD6"/>
    <w:rsid w:val="0089262C"/>
    <w:rsid w:val="00893358"/>
    <w:rsid w:val="0089348E"/>
    <w:rsid w:val="00893AC8"/>
    <w:rsid w:val="00894355"/>
    <w:rsid w:val="00894712"/>
    <w:rsid w:val="008956E0"/>
    <w:rsid w:val="00896D51"/>
    <w:rsid w:val="008A0734"/>
    <w:rsid w:val="008A086A"/>
    <w:rsid w:val="008A2062"/>
    <w:rsid w:val="008A24DC"/>
    <w:rsid w:val="008A3544"/>
    <w:rsid w:val="008A46D5"/>
    <w:rsid w:val="008A4D1D"/>
    <w:rsid w:val="008A4DDC"/>
    <w:rsid w:val="008A4E50"/>
    <w:rsid w:val="008A56C9"/>
    <w:rsid w:val="008A5ECD"/>
    <w:rsid w:val="008A6E87"/>
    <w:rsid w:val="008A6FDA"/>
    <w:rsid w:val="008A7353"/>
    <w:rsid w:val="008B06E1"/>
    <w:rsid w:val="008B080A"/>
    <w:rsid w:val="008B0C86"/>
    <w:rsid w:val="008B2C96"/>
    <w:rsid w:val="008B39A1"/>
    <w:rsid w:val="008B3F25"/>
    <w:rsid w:val="008B3FE6"/>
    <w:rsid w:val="008B4337"/>
    <w:rsid w:val="008B4EA9"/>
    <w:rsid w:val="008B59A2"/>
    <w:rsid w:val="008B6D9C"/>
    <w:rsid w:val="008C0228"/>
    <w:rsid w:val="008C05E6"/>
    <w:rsid w:val="008C176D"/>
    <w:rsid w:val="008C309F"/>
    <w:rsid w:val="008C4B72"/>
    <w:rsid w:val="008C4E8B"/>
    <w:rsid w:val="008C5AFF"/>
    <w:rsid w:val="008C5FD5"/>
    <w:rsid w:val="008C6D81"/>
    <w:rsid w:val="008C6FB5"/>
    <w:rsid w:val="008C714F"/>
    <w:rsid w:val="008D0FEF"/>
    <w:rsid w:val="008D1852"/>
    <w:rsid w:val="008D3276"/>
    <w:rsid w:val="008D431A"/>
    <w:rsid w:val="008D4643"/>
    <w:rsid w:val="008D4819"/>
    <w:rsid w:val="008D5748"/>
    <w:rsid w:val="008D5951"/>
    <w:rsid w:val="008D7034"/>
    <w:rsid w:val="008D7802"/>
    <w:rsid w:val="008D78D5"/>
    <w:rsid w:val="008E1DA3"/>
    <w:rsid w:val="008E1E04"/>
    <w:rsid w:val="008E236D"/>
    <w:rsid w:val="008E23D4"/>
    <w:rsid w:val="008E25DE"/>
    <w:rsid w:val="008E4918"/>
    <w:rsid w:val="008F0302"/>
    <w:rsid w:val="008F0894"/>
    <w:rsid w:val="008F1663"/>
    <w:rsid w:val="008F1770"/>
    <w:rsid w:val="008F30B0"/>
    <w:rsid w:val="008F3826"/>
    <w:rsid w:val="008F387C"/>
    <w:rsid w:val="008F4496"/>
    <w:rsid w:val="008F5E6B"/>
    <w:rsid w:val="008F6876"/>
    <w:rsid w:val="008F6DA9"/>
    <w:rsid w:val="008F76FF"/>
    <w:rsid w:val="008F7A32"/>
    <w:rsid w:val="009003AC"/>
    <w:rsid w:val="0090092C"/>
    <w:rsid w:val="0090105F"/>
    <w:rsid w:val="009013B1"/>
    <w:rsid w:val="009018DE"/>
    <w:rsid w:val="00903D67"/>
    <w:rsid w:val="009064FE"/>
    <w:rsid w:val="00906D6F"/>
    <w:rsid w:val="00907423"/>
    <w:rsid w:val="00910CE4"/>
    <w:rsid w:val="00910E7D"/>
    <w:rsid w:val="00910FCC"/>
    <w:rsid w:val="00911121"/>
    <w:rsid w:val="0091217C"/>
    <w:rsid w:val="00912291"/>
    <w:rsid w:val="009160E6"/>
    <w:rsid w:val="00916304"/>
    <w:rsid w:val="009170F4"/>
    <w:rsid w:val="0091737D"/>
    <w:rsid w:val="00917B10"/>
    <w:rsid w:val="00920D30"/>
    <w:rsid w:val="0092261F"/>
    <w:rsid w:val="00924AC9"/>
    <w:rsid w:val="00925D82"/>
    <w:rsid w:val="0092770E"/>
    <w:rsid w:val="00930854"/>
    <w:rsid w:val="00931CE6"/>
    <w:rsid w:val="009320D8"/>
    <w:rsid w:val="0093223B"/>
    <w:rsid w:val="00932DEB"/>
    <w:rsid w:val="00933486"/>
    <w:rsid w:val="00933651"/>
    <w:rsid w:val="009337FB"/>
    <w:rsid w:val="0093384C"/>
    <w:rsid w:val="00934E82"/>
    <w:rsid w:val="009352BF"/>
    <w:rsid w:val="00935529"/>
    <w:rsid w:val="00937FCC"/>
    <w:rsid w:val="0094129E"/>
    <w:rsid w:val="00942D81"/>
    <w:rsid w:val="009436C2"/>
    <w:rsid w:val="00943929"/>
    <w:rsid w:val="0094447D"/>
    <w:rsid w:val="0094455F"/>
    <w:rsid w:val="00944AA9"/>
    <w:rsid w:val="00945709"/>
    <w:rsid w:val="00945727"/>
    <w:rsid w:val="00946735"/>
    <w:rsid w:val="0094744E"/>
    <w:rsid w:val="0094796A"/>
    <w:rsid w:val="00950E2A"/>
    <w:rsid w:val="00951448"/>
    <w:rsid w:val="00951B4D"/>
    <w:rsid w:val="00951FE9"/>
    <w:rsid w:val="00954342"/>
    <w:rsid w:val="009545AF"/>
    <w:rsid w:val="0095510F"/>
    <w:rsid w:val="009562A6"/>
    <w:rsid w:val="009578F3"/>
    <w:rsid w:val="00960555"/>
    <w:rsid w:val="00962243"/>
    <w:rsid w:val="00962921"/>
    <w:rsid w:val="00962995"/>
    <w:rsid w:val="00962A3C"/>
    <w:rsid w:val="009646BC"/>
    <w:rsid w:val="00965D38"/>
    <w:rsid w:val="009668FA"/>
    <w:rsid w:val="0096697C"/>
    <w:rsid w:val="00967125"/>
    <w:rsid w:val="00971B2F"/>
    <w:rsid w:val="00971D18"/>
    <w:rsid w:val="00971E28"/>
    <w:rsid w:val="00971F1A"/>
    <w:rsid w:val="00972343"/>
    <w:rsid w:val="009730F8"/>
    <w:rsid w:val="009753B9"/>
    <w:rsid w:val="009760DA"/>
    <w:rsid w:val="00976743"/>
    <w:rsid w:val="009775D5"/>
    <w:rsid w:val="00980B7D"/>
    <w:rsid w:val="00981211"/>
    <w:rsid w:val="0098170F"/>
    <w:rsid w:val="0098403C"/>
    <w:rsid w:val="00984EE9"/>
    <w:rsid w:val="009867E7"/>
    <w:rsid w:val="00986BB9"/>
    <w:rsid w:val="0098786E"/>
    <w:rsid w:val="00987AA3"/>
    <w:rsid w:val="00987D82"/>
    <w:rsid w:val="0099007C"/>
    <w:rsid w:val="0099087E"/>
    <w:rsid w:val="00990E09"/>
    <w:rsid w:val="009915C9"/>
    <w:rsid w:val="00992597"/>
    <w:rsid w:val="009928DF"/>
    <w:rsid w:val="00992ABC"/>
    <w:rsid w:val="00996E5D"/>
    <w:rsid w:val="009978E1"/>
    <w:rsid w:val="009A1AD4"/>
    <w:rsid w:val="009A290D"/>
    <w:rsid w:val="009A5052"/>
    <w:rsid w:val="009A7AA8"/>
    <w:rsid w:val="009A7F44"/>
    <w:rsid w:val="009B009E"/>
    <w:rsid w:val="009B16D7"/>
    <w:rsid w:val="009B2175"/>
    <w:rsid w:val="009B3FBE"/>
    <w:rsid w:val="009B4153"/>
    <w:rsid w:val="009B42FF"/>
    <w:rsid w:val="009B4F41"/>
    <w:rsid w:val="009B6877"/>
    <w:rsid w:val="009B733A"/>
    <w:rsid w:val="009B73F0"/>
    <w:rsid w:val="009B7A98"/>
    <w:rsid w:val="009C077D"/>
    <w:rsid w:val="009C098D"/>
    <w:rsid w:val="009C124C"/>
    <w:rsid w:val="009C1D9D"/>
    <w:rsid w:val="009C4DB0"/>
    <w:rsid w:val="009C50BB"/>
    <w:rsid w:val="009C5B5B"/>
    <w:rsid w:val="009C67C6"/>
    <w:rsid w:val="009C6F47"/>
    <w:rsid w:val="009C6FF3"/>
    <w:rsid w:val="009C7BBC"/>
    <w:rsid w:val="009D0467"/>
    <w:rsid w:val="009D0894"/>
    <w:rsid w:val="009D181E"/>
    <w:rsid w:val="009D1AEE"/>
    <w:rsid w:val="009D24E3"/>
    <w:rsid w:val="009D34F3"/>
    <w:rsid w:val="009D41A6"/>
    <w:rsid w:val="009D53DE"/>
    <w:rsid w:val="009D63AC"/>
    <w:rsid w:val="009D715D"/>
    <w:rsid w:val="009E0237"/>
    <w:rsid w:val="009E0C69"/>
    <w:rsid w:val="009E0FA3"/>
    <w:rsid w:val="009E1A8B"/>
    <w:rsid w:val="009E1ACB"/>
    <w:rsid w:val="009E1AE2"/>
    <w:rsid w:val="009E1E4F"/>
    <w:rsid w:val="009E43C3"/>
    <w:rsid w:val="009E43E0"/>
    <w:rsid w:val="009E49B2"/>
    <w:rsid w:val="009E6231"/>
    <w:rsid w:val="009F0D82"/>
    <w:rsid w:val="009F22B0"/>
    <w:rsid w:val="009F2E7A"/>
    <w:rsid w:val="009F47A2"/>
    <w:rsid w:val="009F50D8"/>
    <w:rsid w:val="009F5DCD"/>
    <w:rsid w:val="00A00066"/>
    <w:rsid w:val="00A00591"/>
    <w:rsid w:val="00A00C22"/>
    <w:rsid w:val="00A04A7F"/>
    <w:rsid w:val="00A07BA4"/>
    <w:rsid w:val="00A109AC"/>
    <w:rsid w:val="00A12888"/>
    <w:rsid w:val="00A12D13"/>
    <w:rsid w:val="00A12E3C"/>
    <w:rsid w:val="00A1328F"/>
    <w:rsid w:val="00A15595"/>
    <w:rsid w:val="00A17000"/>
    <w:rsid w:val="00A232E8"/>
    <w:rsid w:val="00A24993"/>
    <w:rsid w:val="00A24D55"/>
    <w:rsid w:val="00A25BC5"/>
    <w:rsid w:val="00A26851"/>
    <w:rsid w:val="00A269F0"/>
    <w:rsid w:val="00A27290"/>
    <w:rsid w:val="00A2763D"/>
    <w:rsid w:val="00A279A6"/>
    <w:rsid w:val="00A27D74"/>
    <w:rsid w:val="00A30457"/>
    <w:rsid w:val="00A30566"/>
    <w:rsid w:val="00A31CDA"/>
    <w:rsid w:val="00A3235F"/>
    <w:rsid w:val="00A32C3C"/>
    <w:rsid w:val="00A33021"/>
    <w:rsid w:val="00A33670"/>
    <w:rsid w:val="00A34DD4"/>
    <w:rsid w:val="00A3559C"/>
    <w:rsid w:val="00A3590C"/>
    <w:rsid w:val="00A364FC"/>
    <w:rsid w:val="00A406FE"/>
    <w:rsid w:val="00A40E2A"/>
    <w:rsid w:val="00A41775"/>
    <w:rsid w:val="00A41D2F"/>
    <w:rsid w:val="00A43DDB"/>
    <w:rsid w:val="00A44AE2"/>
    <w:rsid w:val="00A45213"/>
    <w:rsid w:val="00A468C5"/>
    <w:rsid w:val="00A46C28"/>
    <w:rsid w:val="00A46F63"/>
    <w:rsid w:val="00A4798F"/>
    <w:rsid w:val="00A47B0C"/>
    <w:rsid w:val="00A50F52"/>
    <w:rsid w:val="00A51B08"/>
    <w:rsid w:val="00A5244C"/>
    <w:rsid w:val="00A52690"/>
    <w:rsid w:val="00A52B7A"/>
    <w:rsid w:val="00A546DF"/>
    <w:rsid w:val="00A548E1"/>
    <w:rsid w:val="00A5548C"/>
    <w:rsid w:val="00A57910"/>
    <w:rsid w:val="00A609FB"/>
    <w:rsid w:val="00A60F06"/>
    <w:rsid w:val="00A6178B"/>
    <w:rsid w:val="00A618FC"/>
    <w:rsid w:val="00A619AD"/>
    <w:rsid w:val="00A61AE1"/>
    <w:rsid w:val="00A6221C"/>
    <w:rsid w:val="00A62426"/>
    <w:rsid w:val="00A62E76"/>
    <w:rsid w:val="00A6338A"/>
    <w:rsid w:val="00A637A5"/>
    <w:rsid w:val="00A6663F"/>
    <w:rsid w:val="00A70046"/>
    <w:rsid w:val="00A70DED"/>
    <w:rsid w:val="00A737AE"/>
    <w:rsid w:val="00A73819"/>
    <w:rsid w:val="00A7425A"/>
    <w:rsid w:val="00A745C2"/>
    <w:rsid w:val="00A74B71"/>
    <w:rsid w:val="00A758C4"/>
    <w:rsid w:val="00A778F7"/>
    <w:rsid w:val="00A80C2B"/>
    <w:rsid w:val="00A813EE"/>
    <w:rsid w:val="00A82C8B"/>
    <w:rsid w:val="00A8345D"/>
    <w:rsid w:val="00A83FA4"/>
    <w:rsid w:val="00A8550A"/>
    <w:rsid w:val="00A85C2E"/>
    <w:rsid w:val="00A86A9A"/>
    <w:rsid w:val="00A91999"/>
    <w:rsid w:val="00A91FC8"/>
    <w:rsid w:val="00A97D3A"/>
    <w:rsid w:val="00A97F89"/>
    <w:rsid w:val="00AA03C7"/>
    <w:rsid w:val="00AA24FE"/>
    <w:rsid w:val="00AA3DE3"/>
    <w:rsid w:val="00AA43D4"/>
    <w:rsid w:val="00AA5278"/>
    <w:rsid w:val="00AA5715"/>
    <w:rsid w:val="00AA5E4C"/>
    <w:rsid w:val="00AA60AE"/>
    <w:rsid w:val="00AA7788"/>
    <w:rsid w:val="00AB1066"/>
    <w:rsid w:val="00AB16F6"/>
    <w:rsid w:val="00AB32CF"/>
    <w:rsid w:val="00AB3568"/>
    <w:rsid w:val="00AB3D8C"/>
    <w:rsid w:val="00AB4174"/>
    <w:rsid w:val="00AB48E7"/>
    <w:rsid w:val="00AC15B4"/>
    <w:rsid w:val="00AC1A6A"/>
    <w:rsid w:val="00AC24AF"/>
    <w:rsid w:val="00AC2886"/>
    <w:rsid w:val="00AC357A"/>
    <w:rsid w:val="00AC38F1"/>
    <w:rsid w:val="00AC3FF7"/>
    <w:rsid w:val="00AC433C"/>
    <w:rsid w:val="00AC461D"/>
    <w:rsid w:val="00AC4852"/>
    <w:rsid w:val="00AC4BF3"/>
    <w:rsid w:val="00AC5861"/>
    <w:rsid w:val="00AC5B0F"/>
    <w:rsid w:val="00AC6D6F"/>
    <w:rsid w:val="00AC7944"/>
    <w:rsid w:val="00AD04FF"/>
    <w:rsid w:val="00AD0932"/>
    <w:rsid w:val="00AD1CE2"/>
    <w:rsid w:val="00AD25B2"/>
    <w:rsid w:val="00AD25E4"/>
    <w:rsid w:val="00AD37D5"/>
    <w:rsid w:val="00AD38D7"/>
    <w:rsid w:val="00AD38EF"/>
    <w:rsid w:val="00AD4139"/>
    <w:rsid w:val="00AD5024"/>
    <w:rsid w:val="00AD5428"/>
    <w:rsid w:val="00AD7DE3"/>
    <w:rsid w:val="00AE224C"/>
    <w:rsid w:val="00AE35D7"/>
    <w:rsid w:val="00AE3B0B"/>
    <w:rsid w:val="00AE430C"/>
    <w:rsid w:val="00AE45B6"/>
    <w:rsid w:val="00AE597A"/>
    <w:rsid w:val="00AE60B9"/>
    <w:rsid w:val="00AE6213"/>
    <w:rsid w:val="00AE621B"/>
    <w:rsid w:val="00AF02D1"/>
    <w:rsid w:val="00AF0960"/>
    <w:rsid w:val="00AF22EA"/>
    <w:rsid w:val="00AF25FF"/>
    <w:rsid w:val="00AF2EEF"/>
    <w:rsid w:val="00AF3A5D"/>
    <w:rsid w:val="00AF3EE6"/>
    <w:rsid w:val="00AF5B43"/>
    <w:rsid w:val="00AF5BF0"/>
    <w:rsid w:val="00AF6081"/>
    <w:rsid w:val="00AF70D0"/>
    <w:rsid w:val="00B01009"/>
    <w:rsid w:val="00B013DD"/>
    <w:rsid w:val="00B0187A"/>
    <w:rsid w:val="00B02049"/>
    <w:rsid w:val="00B02BA4"/>
    <w:rsid w:val="00B03458"/>
    <w:rsid w:val="00B03920"/>
    <w:rsid w:val="00B03D5F"/>
    <w:rsid w:val="00B06471"/>
    <w:rsid w:val="00B10BE2"/>
    <w:rsid w:val="00B123FA"/>
    <w:rsid w:val="00B12A53"/>
    <w:rsid w:val="00B1364D"/>
    <w:rsid w:val="00B14489"/>
    <w:rsid w:val="00B14D08"/>
    <w:rsid w:val="00B1709F"/>
    <w:rsid w:val="00B21DA0"/>
    <w:rsid w:val="00B2266C"/>
    <w:rsid w:val="00B22ADA"/>
    <w:rsid w:val="00B22C7F"/>
    <w:rsid w:val="00B23835"/>
    <w:rsid w:val="00B2473B"/>
    <w:rsid w:val="00B2521D"/>
    <w:rsid w:val="00B265E7"/>
    <w:rsid w:val="00B271E6"/>
    <w:rsid w:val="00B2745E"/>
    <w:rsid w:val="00B302B8"/>
    <w:rsid w:val="00B306EB"/>
    <w:rsid w:val="00B330DC"/>
    <w:rsid w:val="00B333A6"/>
    <w:rsid w:val="00B346CB"/>
    <w:rsid w:val="00B35F31"/>
    <w:rsid w:val="00B369AA"/>
    <w:rsid w:val="00B371DE"/>
    <w:rsid w:val="00B40EF6"/>
    <w:rsid w:val="00B426EB"/>
    <w:rsid w:val="00B435C6"/>
    <w:rsid w:val="00B4374E"/>
    <w:rsid w:val="00B43F7A"/>
    <w:rsid w:val="00B44898"/>
    <w:rsid w:val="00B4542C"/>
    <w:rsid w:val="00B458F6"/>
    <w:rsid w:val="00B463AA"/>
    <w:rsid w:val="00B47AED"/>
    <w:rsid w:val="00B47C01"/>
    <w:rsid w:val="00B47E56"/>
    <w:rsid w:val="00B5134B"/>
    <w:rsid w:val="00B51699"/>
    <w:rsid w:val="00B5209E"/>
    <w:rsid w:val="00B52676"/>
    <w:rsid w:val="00B53424"/>
    <w:rsid w:val="00B53990"/>
    <w:rsid w:val="00B539EB"/>
    <w:rsid w:val="00B611BA"/>
    <w:rsid w:val="00B616C3"/>
    <w:rsid w:val="00B627FD"/>
    <w:rsid w:val="00B62A9D"/>
    <w:rsid w:val="00B63E50"/>
    <w:rsid w:val="00B64320"/>
    <w:rsid w:val="00B6494F"/>
    <w:rsid w:val="00B66419"/>
    <w:rsid w:val="00B6642A"/>
    <w:rsid w:val="00B66922"/>
    <w:rsid w:val="00B67EFC"/>
    <w:rsid w:val="00B72495"/>
    <w:rsid w:val="00B73667"/>
    <w:rsid w:val="00B73C58"/>
    <w:rsid w:val="00B77187"/>
    <w:rsid w:val="00B77BA3"/>
    <w:rsid w:val="00B81B6E"/>
    <w:rsid w:val="00B84AA0"/>
    <w:rsid w:val="00B85A44"/>
    <w:rsid w:val="00B85FA3"/>
    <w:rsid w:val="00B865A0"/>
    <w:rsid w:val="00B91D36"/>
    <w:rsid w:val="00B9283E"/>
    <w:rsid w:val="00B928E6"/>
    <w:rsid w:val="00B928E8"/>
    <w:rsid w:val="00B94270"/>
    <w:rsid w:val="00B94ECA"/>
    <w:rsid w:val="00BA00B1"/>
    <w:rsid w:val="00BA01A8"/>
    <w:rsid w:val="00BA032B"/>
    <w:rsid w:val="00BA0EF8"/>
    <w:rsid w:val="00BA2047"/>
    <w:rsid w:val="00BA378B"/>
    <w:rsid w:val="00BA4F53"/>
    <w:rsid w:val="00BA5257"/>
    <w:rsid w:val="00BA585F"/>
    <w:rsid w:val="00BA7A92"/>
    <w:rsid w:val="00BA7B5A"/>
    <w:rsid w:val="00BB01C3"/>
    <w:rsid w:val="00BB18EB"/>
    <w:rsid w:val="00BB2323"/>
    <w:rsid w:val="00BB2AB8"/>
    <w:rsid w:val="00BB39DD"/>
    <w:rsid w:val="00BB529F"/>
    <w:rsid w:val="00BB5EE6"/>
    <w:rsid w:val="00BB6997"/>
    <w:rsid w:val="00BB7976"/>
    <w:rsid w:val="00BC06EA"/>
    <w:rsid w:val="00BC0C5E"/>
    <w:rsid w:val="00BC19CE"/>
    <w:rsid w:val="00BC2B62"/>
    <w:rsid w:val="00BC2C7B"/>
    <w:rsid w:val="00BC301B"/>
    <w:rsid w:val="00BC372F"/>
    <w:rsid w:val="00BC3A43"/>
    <w:rsid w:val="00BC3CF6"/>
    <w:rsid w:val="00BC3D26"/>
    <w:rsid w:val="00BC5B75"/>
    <w:rsid w:val="00BC6777"/>
    <w:rsid w:val="00BC6F0A"/>
    <w:rsid w:val="00BC73D1"/>
    <w:rsid w:val="00BD07D4"/>
    <w:rsid w:val="00BD082C"/>
    <w:rsid w:val="00BD1196"/>
    <w:rsid w:val="00BD18DE"/>
    <w:rsid w:val="00BD33B9"/>
    <w:rsid w:val="00BD49FE"/>
    <w:rsid w:val="00BD4A37"/>
    <w:rsid w:val="00BD5AFC"/>
    <w:rsid w:val="00BD6168"/>
    <w:rsid w:val="00BD6821"/>
    <w:rsid w:val="00BD7B1B"/>
    <w:rsid w:val="00BE0C59"/>
    <w:rsid w:val="00BE18E7"/>
    <w:rsid w:val="00BE1BEF"/>
    <w:rsid w:val="00BE1F5A"/>
    <w:rsid w:val="00BE4588"/>
    <w:rsid w:val="00BE48A6"/>
    <w:rsid w:val="00BE4C1D"/>
    <w:rsid w:val="00BE4DD3"/>
    <w:rsid w:val="00BE595D"/>
    <w:rsid w:val="00BE7E7E"/>
    <w:rsid w:val="00BF0EE7"/>
    <w:rsid w:val="00BF1A77"/>
    <w:rsid w:val="00BF44D4"/>
    <w:rsid w:val="00BF45CD"/>
    <w:rsid w:val="00BF475E"/>
    <w:rsid w:val="00BF4ABE"/>
    <w:rsid w:val="00BF543B"/>
    <w:rsid w:val="00BF5E87"/>
    <w:rsid w:val="00C005CC"/>
    <w:rsid w:val="00C025B1"/>
    <w:rsid w:val="00C02E52"/>
    <w:rsid w:val="00C03C6B"/>
    <w:rsid w:val="00C058D0"/>
    <w:rsid w:val="00C05BD8"/>
    <w:rsid w:val="00C07BB3"/>
    <w:rsid w:val="00C07E7D"/>
    <w:rsid w:val="00C116D6"/>
    <w:rsid w:val="00C11EA6"/>
    <w:rsid w:val="00C13278"/>
    <w:rsid w:val="00C136C8"/>
    <w:rsid w:val="00C14983"/>
    <w:rsid w:val="00C15DB8"/>
    <w:rsid w:val="00C16876"/>
    <w:rsid w:val="00C16D62"/>
    <w:rsid w:val="00C1743E"/>
    <w:rsid w:val="00C176AE"/>
    <w:rsid w:val="00C2131C"/>
    <w:rsid w:val="00C21AF9"/>
    <w:rsid w:val="00C22B82"/>
    <w:rsid w:val="00C22D3A"/>
    <w:rsid w:val="00C22E6C"/>
    <w:rsid w:val="00C23501"/>
    <w:rsid w:val="00C23CC2"/>
    <w:rsid w:val="00C24521"/>
    <w:rsid w:val="00C24904"/>
    <w:rsid w:val="00C24A8C"/>
    <w:rsid w:val="00C24C9C"/>
    <w:rsid w:val="00C25B2E"/>
    <w:rsid w:val="00C26456"/>
    <w:rsid w:val="00C27A16"/>
    <w:rsid w:val="00C27AB1"/>
    <w:rsid w:val="00C3043A"/>
    <w:rsid w:val="00C30BE3"/>
    <w:rsid w:val="00C331BD"/>
    <w:rsid w:val="00C3368C"/>
    <w:rsid w:val="00C344F8"/>
    <w:rsid w:val="00C35A14"/>
    <w:rsid w:val="00C360C4"/>
    <w:rsid w:val="00C374A2"/>
    <w:rsid w:val="00C37E10"/>
    <w:rsid w:val="00C40B65"/>
    <w:rsid w:val="00C40E7C"/>
    <w:rsid w:val="00C41158"/>
    <w:rsid w:val="00C4155A"/>
    <w:rsid w:val="00C41734"/>
    <w:rsid w:val="00C420C6"/>
    <w:rsid w:val="00C42CFD"/>
    <w:rsid w:val="00C43A1C"/>
    <w:rsid w:val="00C4505E"/>
    <w:rsid w:val="00C46A4A"/>
    <w:rsid w:val="00C50DDB"/>
    <w:rsid w:val="00C54645"/>
    <w:rsid w:val="00C55B39"/>
    <w:rsid w:val="00C56A81"/>
    <w:rsid w:val="00C6097F"/>
    <w:rsid w:val="00C62532"/>
    <w:rsid w:val="00C637FA"/>
    <w:rsid w:val="00C644E5"/>
    <w:rsid w:val="00C654EB"/>
    <w:rsid w:val="00C673A1"/>
    <w:rsid w:val="00C7008F"/>
    <w:rsid w:val="00C702B8"/>
    <w:rsid w:val="00C7110F"/>
    <w:rsid w:val="00C72278"/>
    <w:rsid w:val="00C72694"/>
    <w:rsid w:val="00C74529"/>
    <w:rsid w:val="00C74663"/>
    <w:rsid w:val="00C74A02"/>
    <w:rsid w:val="00C74F3E"/>
    <w:rsid w:val="00C75181"/>
    <w:rsid w:val="00C76CA0"/>
    <w:rsid w:val="00C76EBB"/>
    <w:rsid w:val="00C77913"/>
    <w:rsid w:val="00C80CCE"/>
    <w:rsid w:val="00C823E8"/>
    <w:rsid w:val="00C83D72"/>
    <w:rsid w:val="00C8441C"/>
    <w:rsid w:val="00C84AB4"/>
    <w:rsid w:val="00C850CE"/>
    <w:rsid w:val="00C85350"/>
    <w:rsid w:val="00C86483"/>
    <w:rsid w:val="00C8660D"/>
    <w:rsid w:val="00C87440"/>
    <w:rsid w:val="00C87527"/>
    <w:rsid w:val="00C90247"/>
    <w:rsid w:val="00C911C2"/>
    <w:rsid w:val="00C91479"/>
    <w:rsid w:val="00C9149C"/>
    <w:rsid w:val="00C92366"/>
    <w:rsid w:val="00C93480"/>
    <w:rsid w:val="00C9365D"/>
    <w:rsid w:val="00C96165"/>
    <w:rsid w:val="00C97618"/>
    <w:rsid w:val="00C97CE5"/>
    <w:rsid w:val="00CA18AD"/>
    <w:rsid w:val="00CA2A69"/>
    <w:rsid w:val="00CA4485"/>
    <w:rsid w:val="00CA4FD4"/>
    <w:rsid w:val="00CA561B"/>
    <w:rsid w:val="00CA572D"/>
    <w:rsid w:val="00CA5F3E"/>
    <w:rsid w:val="00CA623A"/>
    <w:rsid w:val="00CA73B5"/>
    <w:rsid w:val="00CA7D95"/>
    <w:rsid w:val="00CA7FB4"/>
    <w:rsid w:val="00CB086B"/>
    <w:rsid w:val="00CB1A93"/>
    <w:rsid w:val="00CB2BA1"/>
    <w:rsid w:val="00CB35D5"/>
    <w:rsid w:val="00CB3A1D"/>
    <w:rsid w:val="00CB437A"/>
    <w:rsid w:val="00CB68CB"/>
    <w:rsid w:val="00CB700C"/>
    <w:rsid w:val="00CB79AA"/>
    <w:rsid w:val="00CC004C"/>
    <w:rsid w:val="00CC0568"/>
    <w:rsid w:val="00CC074B"/>
    <w:rsid w:val="00CC1261"/>
    <w:rsid w:val="00CC1A16"/>
    <w:rsid w:val="00CC221F"/>
    <w:rsid w:val="00CC300E"/>
    <w:rsid w:val="00CC5C12"/>
    <w:rsid w:val="00CC5CAD"/>
    <w:rsid w:val="00CC6553"/>
    <w:rsid w:val="00CC77DF"/>
    <w:rsid w:val="00CD0B54"/>
    <w:rsid w:val="00CD12D9"/>
    <w:rsid w:val="00CD1DDE"/>
    <w:rsid w:val="00CD257C"/>
    <w:rsid w:val="00CD284E"/>
    <w:rsid w:val="00CD3B02"/>
    <w:rsid w:val="00CD5DBD"/>
    <w:rsid w:val="00CD61D2"/>
    <w:rsid w:val="00CD6DDF"/>
    <w:rsid w:val="00CE06DB"/>
    <w:rsid w:val="00CE0716"/>
    <w:rsid w:val="00CE0AFC"/>
    <w:rsid w:val="00CE0E3F"/>
    <w:rsid w:val="00CE2F08"/>
    <w:rsid w:val="00CE355C"/>
    <w:rsid w:val="00CE49FA"/>
    <w:rsid w:val="00CE4EB9"/>
    <w:rsid w:val="00CE5A0A"/>
    <w:rsid w:val="00CE67D6"/>
    <w:rsid w:val="00CE7517"/>
    <w:rsid w:val="00CE7C7A"/>
    <w:rsid w:val="00CF03FB"/>
    <w:rsid w:val="00CF09D9"/>
    <w:rsid w:val="00CF0E82"/>
    <w:rsid w:val="00CF17BF"/>
    <w:rsid w:val="00CF23B7"/>
    <w:rsid w:val="00CF364F"/>
    <w:rsid w:val="00CF3B53"/>
    <w:rsid w:val="00CF3CD5"/>
    <w:rsid w:val="00CF3E18"/>
    <w:rsid w:val="00CF5EA6"/>
    <w:rsid w:val="00CF626D"/>
    <w:rsid w:val="00CF6387"/>
    <w:rsid w:val="00D006EC"/>
    <w:rsid w:val="00D063C7"/>
    <w:rsid w:val="00D06580"/>
    <w:rsid w:val="00D10299"/>
    <w:rsid w:val="00D13755"/>
    <w:rsid w:val="00D1432A"/>
    <w:rsid w:val="00D1448D"/>
    <w:rsid w:val="00D151FE"/>
    <w:rsid w:val="00D17097"/>
    <w:rsid w:val="00D20293"/>
    <w:rsid w:val="00D21184"/>
    <w:rsid w:val="00D216A1"/>
    <w:rsid w:val="00D21CC9"/>
    <w:rsid w:val="00D22969"/>
    <w:rsid w:val="00D2426D"/>
    <w:rsid w:val="00D2441B"/>
    <w:rsid w:val="00D26346"/>
    <w:rsid w:val="00D30035"/>
    <w:rsid w:val="00D30C9C"/>
    <w:rsid w:val="00D3225A"/>
    <w:rsid w:val="00D32302"/>
    <w:rsid w:val="00D32F17"/>
    <w:rsid w:val="00D33135"/>
    <w:rsid w:val="00D36A03"/>
    <w:rsid w:val="00D41068"/>
    <w:rsid w:val="00D415E1"/>
    <w:rsid w:val="00D416FE"/>
    <w:rsid w:val="00D41AA6"/>
    <w:rsid w:val="00D43AB1"/>
    <w:rsid w:val="00D43F85"/>
    <w:rsid w:val="00D440CF"/>
    <w:rsid w:val="00D441A3"/>
    <w:rsid w:val="00D4545D"/>
    <w:rsid w:val="00D4636B"/>
    <w:rsid w:val="00D46853"/>
    <w:rsid w:val="00D46C65"/>
    <w:rsid w:val="00D51160"/>
    <w:rsid w:val="00D528DA"/>
    <w:rsid w:val="00D549E7"/>
    <w:rsid w:val="00D54D5D"/>
    <w:rsid w:val="00D55139"/>
    <w:rsid w:val="00D55D95"/>
    <w:rsid w:val="00D5681E"/>
    <w:rsid w:val="00D570C9"/>
    <w:rsid w:val="00D5728F"/>
    <w:rsid w:val="00D57F9F"/>
    <w:rsid w:val="00D60612"/>
    <w:rsid w:val="00D60E6C"/>
    <w:rsid w:val="00D61859"/>
    <w:rsid w:val="00D61864"/>
    <w:rsid w:val="00D61FD4"/>
    <w:rsid w:val="00D61FEE"/>
    <w:rsid w:val="00D62F99"/>
    <w:rsid w:val="00D63131"/>
    <w:rsid w:val="00D6346F"/>
    <w:rsid w:val="00D63F97"/>
    <w:rsid w:val="00D64347"/>
    <w:rsid w:val="00D645EB"/>
    <w:rsid w:val="00D64C2E"/>
    <w:rsid w:val="00D65504"/>
    <w:rsid w:val="00D65E2F"/>
    <w:rsid w:val="00D65E62"/>
    <w:rsid w:val="00D67AEF"/>
    <w:rsid w:val="00D7057D"/>
    <w:rsid w:val="00D7079F"/>
    <w:rsid w:val="00D708EB"/>
    <w:rsid w:val="00D7178B"/>
    <w:rsid w:val="00D71867"/>
    <w:rsid w:val="00D7227B"/>
    <w:rsid w:val="00D7296B"/>
    <w:rsid w:val="00D7410D"/>
    <w:rsid w:val="00D75484"/>
    <w:rsid w:val="00D75A5A"/>
    <w:rsid w:val="00D76401"/>
    <w:rsid w:val="00D76684"/>
    <w:rsid w:val="00D769D2"/>
    <w:rsid w:val="00D77218"/>
    <w:rsid w:val="00D8020D"/>
    <w:rsid w:val="00D80243"/>
    <w:rsid w:val="00D8139E"/>
    <w:rsid w:val="00D81D65"/>
    <w:rsid w:val="00D8245B"/>
    <w:rsid w:val="00D82523"/>
    <w:rsid w:val="00D83375"/>
    <w:rsid w:val="00D83FE5"/>
    <w:rsid w:val="00D85079"/>
    <w:rsid w:val="00D85900"/>
    <w:rsid w:val="00D869FA"/>
    <w:rsid w:val="00D871B9"/>
    <w:rsid w:val="00D873A5"/>
    <w:rsid w:val="00D87BE7"/>
    <w:rsid w:val="00D91151"/>
    <w:rsid w:val="00D91159"/>
    <w:rsid w:val="00D91907"/>
    <w:rsid w:val="00D91A8A"/>
    <w:rsid w:val="00D91BA8"/>
    <w:rsid w:val="00D9207A"/>
    <w:rsid w:val="00D93B6E"/>
    <w:rsid w:val="00D94D21"/>
    <w:rsid w:val="00D95467"/>
    <w:rsid w:val="00D9674D"/>
    <w:rsid w:val="00D968A7"/>
    <w:rsid w:val="00D9706B"/>
    <w:rsid w:val="00D978F6"/>
    <w:rsid w:val="00D97B23"/>
    <w:rsid w:val="00D97D8A"/>
    <w:rsid w:val="00D97EE2"/>
    <w:rsid w:val="00DA1AC9"/>
    <w:rsid w:val="00DA2854"/>
    <w:rsid w:val="00DA34A9"/>
    <w:rsid w:val="00DA3694"/>
    <w:rsid w:val="00DA375B"/>
    <w:rsid w:val="00DA3EEE"/>
    <w:rsid w:val="00DA40E7"/>
    <w:rsid w:val="00DA445C"/>
    <w:rsid w:val="00DA5C6B"/>
    <w:rsid w:val="00DA5DB3"/>
    <w:rsid w:val="00DA5DFF"/>
    <w:rsid w:val="00DA6FE4"/>
    <w:rsid w:val="00DA7134"/>
    <w:rsid w:val="00DA7697"/>
    <w:rsid w:val="00DA7D67"/>
    <w:rsid w:val="00DB0D62"/>
    <w:rsid w:val="00DB1A2E"/>
    <w:rsid w:val="00DB2D67"/>
    <w:rsid w:val="00DB3870"/>
    <w:rsid w:val="00DB52B5"/>
    <w:rsid w:val="00DB6D7C"/>
    <w:rsid w:val="00DB6F5E"/>
    <w:rsid w:val="00DB7003"/>
    <w:rsid w:val="00DB716E"/>
    <w:rsid w:val="00DC0F4A"/>
    <w:rsid w:val="00DC1951"/>
    <w:rsid w:val="00DC24BC"/>
    <w:rsid w:val="00DC25FA"/>
    <w:rsid w:val="00DC3D4D"/>
    <w:rsid w:val="00DC4CC7"/>
    <w:rsid w:val="00DC5C89"/>
    <w:rsid w:val="00DC6565"/>
    <w:rsid w:val="00DC66A7"/>
    <w:rsid w:val="00DC70EA"/>
    <w:rsid w:val="00DC713D"/>
    <w:rsid w:val="00DD0E11"/>
    <w:rsid w:val="00DD2722"/>
    <w:rsid w:val="00DD2760"/>
    <w:rsid w:val="00DD2CE3"/>
    <w:rsid w:val="00DD2DEE"/>
    <w:rsid w:val="00DD3698"/>
    <w:rsid w:val="00DD3D37"/>
    <w:rsid w:val="00DD4099"/>
    <w:rsid w:val="00DD4136"/>
    <w:rsid w:val="00DD4147"/>
    <w:rsid w:val="00DD4233"/>
    <w:rsid w:val="00DD45AA"/>
    <w:rsid w:val="00DD517A"/>
    <w:rsid w:val="00DE0291"/>
    <w:rsid w:val="00DE138B"/>
    <w:rsid w:val="00DE172E"/>
    <w:rsid w:val="00DE24F8"/>
    <w:rsid w:val="00DE2545"/>
    <w:rsid w:val="00DE3B95"/>
    <w:rsid w:val="00DE402B"/>
    <w:rsid w:val="00DE7A7E"/>
    <w:rsid w:val="00DF0808"/>
    <w:rsid w:val="00DF2856"/>
    <w:rsid w:val="00DF2A84"/>
    <w:rsid w:val="00DF2ADE"/>
    <w:rsid w:val="00DF2D96"/>
    <w:rsid w:val="00DF4273"/>
    <w:rsid w:val="00DF45D1"/>
    <w:rsid w:val="00DF47D9"/>
    <w:rsid w:val="00DF4F03"/>
    <w:rsid w:val="00DF5B70"/>
    <w:rsid w:val="00DF608D"/>
    <w:rsid w:val="00DF6424"/>
    <w:rsid w:val="00DF6B17"/>
    <w:rsid w:val="00DF786D"/>
    <w:rsid w:val="00E0155A"/>
    <w:rsid w:val="00E02B8E"/>
    <w:rsid w:val="00E02D71"/>
    <w:rsid w:val="00E03F6A"/>
    <w:rsid w:val="00E0418C"/>
    <w:rsid w:val="00E04545"/>
    <w:rsid w:val="00E06068"/>
    <w:rsid w:val="00E076E7"/>
    <w:rsid w:val="00E10911"/>
    <w:rsid w:val="00E1204D"/>
    <w:rsid w:val="00E131C0"/>
    <w:rsid w:val="00E13A26"/>
    <w:rsid w:val="00E1447B"/>
    <w:rsid w:val="00E14E59"/>
    <w:rsid w:val="00E14ED6"/>
    <w:rsid w:val="00E15631"/>
    <w:rsid w:val="00E161D3"/>
    <w:rsid w:val="00E169D2"/>
    <w:rsid w:val="00E16F70"/>
    <w:rsid w:val="00E17F45"/>
    <w:rsid w:val="00E207E4"/>
    <w:rsid w:val="00E211B5"/>
    <w:rsid w:val="00E227AE"/>
    <w:rsid w:val="00E22D31"/>
    <w:rsid w:val="00E22F81"/>
    <w:rsid w:val="00E23A08"/>
    <w:rsid w:val="00E248A2"/>
    <w:rsid w:val="00E2612E"/>
    <w:rsid w:val="00E2627B"/>
    <w:rsid w:val="00E275F1"/>
    <w:rsid w:val="00E304D7"/>
    <w:rsid w:val="00E309A6"/>
    <w:rsid w:val="00E311F8"/>
    <w:rsid w:val="00E31208"/>
    <w:rsid w:val="00E31D0B"/>
    <w:rsid w:val="00E32028"/>
    <w:rsid w:val="00E32DC2"/>
    <w:rsid w:val="00E34884"/>
    <w:rsid w:val="00E348DE"/>
    <w:rsid w:val="00E348F9"/>
    <w:rsid w:val="00E34DC5"/>
    <w:rsid w:val="00E373FD"/>
    <w:rsid w:val="00E415F0"/>
    <w:rsid w:val="00E43094"/>
    <w:rsid w:val="00E43C6C"/>
    <w:rsid w:val="00E43D81"/>
    <w:rsid w:val="00E44091"/>
    <w:rsid w:val="00E440F8"/>
    <w:rsid w:val="00E44FC1"/>
    <w:rsid w:val="00E465C9"/>
    <w:rsid w:val="00E47038"/>
    <w:rsid w:val="00E50436"/>
    <w:rsid w:val="00E51396"/>
    <w:rsid w:val="00E51D95"/>
    <w:rsid w:val="00E5262F"/>
    <w:rsid w:val="00E53870"/>
    <w:rsid w:val="00E538CB"/>
    <w:rsid w:val="00E53935"/>
    <w:rsid w:val="00E54D8C"/>
    <w:rsid w:val="00E57540"/>
    <w:rsid w:val="00E6154D"/>
    <w:rsid w:val="00E62F1E"/>
    <w:rsid w:val="00E64136"/>
    <w:rsid w:val="00E65BFB"/>
    <w:rsid w:val="00E66BFD"/>
    <w:rsid w:val="00E67C48"/>
    <w:rsid w:val="00E7016D"/>
    <w:rsid w:val="00E71ABA"/>
    <w:rsid w:val="00E72C5F"/>
    <w:rsid w:val="00E72CDA"/>
    <w:rsid w:val="00E75097"/>
    <w:rsid w:val="00E80108"/>
    <w:rsid w:val="00E8019C"/>
    <w:rsid w:val="00E81986"/>
    <w:rsid w:val="00E82104"/>
    <w:rsid w:val="00E84881"/>
    <w:rsid w:val="00E860E0"/>
    <w:rsid w:val="00E86EF3"/>
    <w:rsid w:val="00E907E4"/>
    <w:rsid w:val="00E930E5"/>
    <w:rsid w:val="00E93527"/>
    <w:rsid w:val="00E948AA"/>
    <w:rsid w:val="00E94D1B"/>
    <w:rsid w:val="00E94F14"/>
    <w:rsid w:val="00E95818"/>
    <w:rsid w:val="00E97128"/>
    <w:rsid w:val="00E9768E"/>
    <w:rsid w:val="00EA1061"/>
    <w:rsid w:val="00EA18D3"/>
    <w:rsid w:val="00EA2812"/>
    <w:rsid w:val="00EA32C6"/>
    <w:rsid w:val="00EA32FA"/>
    <w:rsid w:val="00EA3574"/>
    <w:rsid w:val="00EA540D"/>
    <w:rsid w:val="00EA6C5C"/>
    <w:rsid w:val="00EA6D93"/>
    <w:rsid w:val="00EB0531"/>
    <w:rsid w:val="00EB0EA9"/>
    <w:rsid w:val="00EB1183"/>
    <w:rsid w:val="00EB1C67"/>
    <w:rsid w:val="00EB2BC7"/>
    <w:rsid w:val="00EB2E93"/>
    <w:rsid w:val="00EB4A30"/>
    <w:rsid w:val="00EB5148"/>
    <w:rsid w:val="00EB5F13"/>
    <w:rsid w:val="00EB628C"/>
    <w:rsid w:val="00EB646A"/>
    <w:rsid w:val="00EB6A24"/>
    <w:rsid w:val="00EB71B5"/>
    <w:rsid w:val="00EC01F0"/>
    <w:rsid w:val="00EC062A"/>
    <w:rsid w:val="00EC1439"/>
    <w:rsid w:val="00EC1C45"/>
    <w:rsid w:val="00EC1CDA"/>
    <w:rsid w:val="00EC402C"/>
    <w:rsid w:val="00EC4F47"/>
    <w:rsid w:val="00EC7AF5"/>
    <w:rsid w:val="00ED01BD"/>
    <w:rsid w:val="00ED031C"/>
    <w:rsid w:val="00ED052C"/>
    <w:rsid w:val="00ED10B7"/>
    <w:rsid w:val="00ED1A21"/>
    <w:rsid w:val="00ED1A4F"/>
    <w:rsid w:val="00ED1F8F"/>
    <w:rsid w:val="00ED3259"/>
    <w:rsid w:val="00ED3422"/>
    <w:rsid w:val="00ED4502"/>
    <w:rsid w:val="00ED4804"/>
    <w:rsid w:val="00ED49FE"/>
    <w:rsid w:val="00ED54B4"/>
    <w:rsid w:val="00ED69E3"/>
    <w:rsid w:val="00ED7155"/>
    <w:rsid w:val="00ED7781"/>
    <w:rsid w:val="00EE225C"/>
    <w:rsid w:val="00EE41F6"/>
    <w:rsid w:val="00EE4AA1"/>
    <w:rsid w:val="00EE5985"/>
    <w:rsid w:val="00EF03C8"/>
    <w:rsid w:val="00EF1BA6"/>
    <w:rsid w:val="00EF27E9"/>
    <w:rsid w:val="00EF330C"/>
    <w:rsid w:val="00EF4179"/>
    <w:rsid w:val="00EF4BAF"/>
    <w:rsid w:val="00EF4DF7"/>
    <w:rsid w:val="00EF574D"/>
    <w:rsid w:val="00F00991"/>
    <w:rsid w:val="00F02E37"/>
    <w:rsid w:val="00F02E98"/>
    <w:rsid w:val="00F03496"/>
    <w:rsid w:val="00F03927"/>
    <w:rsid w:val="00F04904"/>
    <w:rsid w:val="00F05340"/>
    <w:rsid w:val="00F05871"/>
    <w:rsid w:val="00F05992"/>
    <w:rsid w:val="00F06199"/>
    <w:rsid w:val="00F069A2"/>
    <w:rsid w:val="00F10581"/>
    <w:rsid w:val="00F1102D"/>
    <w:rsid w:val="00F11087"/>
    <w:rsid w:val="00F111FE"/>
    <w:rsid w:val="00F11DB2"/>
    <w:rsid w:val="00F12C2A"/>
    <w:rsid w:val="00F13BA3"/>
    <w:rsid w:val="00F14A7F"/>
    <w:rsid w:val="00F15246"/>
    <w:rsid w:val="00F1591F"/>
    <w:rsid w:val="00F15990"/>
    <w:rsid w:val="00F15F7E"/>
    <w:rsid w:val="00F16FFC"/>
    <w:rsid w:val="00F21309"/>
    <w:rsid w:val="00F21466"/>
    <w:rsid w:val="00F21AE9"/>
    <w:rsid w:val="00F243E9"/>
    <w:rsid w:val="00F307A6"/>
    <w:rsid w:val="00F30C83"/>
    <w:rsid w:val="00F30E35"/>
    <w:rsid w:val="00F31613"/>
    <w:rsid w:val="00F3184D"/>
    <w:rsid w:val="00F319DE"/>
    <w:rsid w:val="00F33255"/>
    <w:rsid w:val="00F3733B"/>
    <w:rsid w:val="00F41259"/>
    <w:rsid w:val="00F41402"/>
    <w:rsid w:val="00F41D18"/>
    <w:rsid w:val="00F41E1C"/>
    <w:rsid w:val="00F42BAF"/>
    <w:rsid w:val="00F43DA4"/>
    <w:rsid w:val="00F4458C"/>
    <w:rsid w:val="00F45878"/>
    <w:rsid w:val="00F47997"/>
    <w:rsid w:val="00F50289"/>
    <w:rsid w:val="00F504E9"/>
    <w:rsid w:val="00F51F16"/>
    <w:rsid w:val="00F52189"/>
    <w:rsid w:val="00F525C9"/>
    <w:rsid w:val="00F52813"/>
    <w:rsid w:val="00F53EDD"/>
    <w:rsid w:val="00F552E5"/>
    <w:rsid w:val="00F560FA"/>
    <w:rsid w:val="00F56E02"/>
    <w:rsid w:val="00F57607"/>
    <w:rsid w:val="00F60070"/>
    <w:rsid w:val="00F600BE"/>
    <w:rsid w:val="00F605AB"/>
    <w:rsid w:val="00F620C1"/>
    <w:rsid w:val="00F6256F"/>
    <w:rsid w:val="00F62657"/>
    <w:rsid w:val="00F62CD3"/>
    <w:rsid w:val="00F64440"/>
    <w:rsid w:val="00F652F3"/>
    <w:rsid w:val="00F65DEA"/>
    <w:rsid w:val="00F66211"/>
    <w:rsid w:val="00F67E2F"/>
    <w:rsid w:val="00F7022B"/>
    <w:rsid w:val="00F70D89"/>
    <w:rsid w:val="00F73475"/>
    <w:rsid w:val="00F741AB"/>
    <w:rsid w:val="00F76157"/>
    <w:rsid w:val="00F778C3"/>
    <w:rsid w:val="00F800F2"/>
    <w:rsid w:val="00F80ACF"/>
    <w:rsid w:val="00F80F2B"/>
    <w:rsid w:val="00F81A9D"/>
    <w:rsid w:val="00F82852"/>
    <w:rsid w:val="00F83ED0"/>
    <w:rsid w:val="00F83F68"/>
    <w:rsid w:val="00F840CA"/>
    <w:rsid w:val="00F8593E"/>
    <w:rsid w:val="00F85A79"/>
    <w:rsid w:val="00F8626D"/>
    <w:rsid w:val="00F86937"/>
    <w:rsid w:val="00F928BE"/>
    <w:rsid w:val="00F929D8"/>
    <w:rsid w:val="00F92A2B"/>
    <w:rsid w:val="00F92BDD"/>
    <w:rsid w:val="00F93398"/>
    <w:rsid w:val="00F94265"/>
    <w:rsid w:val="00F9454E"/>
    <w:rsid w:val="00F9458E"/>
    <w:rsid w:val="00F94F75"/>
    <w:rsid w:val="00F95C11"/>
    <w:rsid w:val="00F96370"/>
    <w:rsid w:val="00FA0057"/>
    <w:rsid w:val="00FA0E37"/>
    <w:rsid w:val="00FA42D8"/>
    <w:rsid w:val="00FA4EF5"/>
    <w:rsid w:val="00FA5093"/>
    <w:rsid w:val="00FA5523"/>
    <w:rsid w:val="00FA5D6F"/>
    <w:rsid w:val="00FA7BA7"/>
    <w:rsid w:val="00FB0728"/>
    <w:rsid w:val="00FB0ECF"/>
    <w:rsid w:val="00FB17F2"/>
    <w:rsid w:val="00FB4066"/>
    <w:rsid w:val="00FB58A0"/>
    <w:rsid w:val="00FB5FE8"/>
    <w:rsid w:val="00FB67BC"/>
    <w:rsid w:val="00FB75E4"/>
    <w:rsid w:val="00FB76FD"/>
    <w:rsid w:val="00FC0927"/>
    <w:rsid w:val="00FC30E6"/>
    <w:rsid w:val="00FC4089"/>
    <w:rsid w:val="00FC4D78"/>
    <w:rsid w:val="00FC6A8C"/>
    <w:rsid w:val="00FD1951"/>
    <w:rsid w:val="00FD2036"/>
    <w:rsid w:val="00FD2222"/>
    <w:rsid w:val="00FD3669"/>
    <w:rsid w:val="00FD59B3"/>
    <w:rsid w:val="00FD6BF5"/>
    <w:rsid w:val="00FD6E65"/>
    <w:rsid w:val="00FD6EE8"/>
    <w:rsid w:val="00FD75FE"/>
    <w:rsid w:val="00FE1121"/>
    <w:rsid w:val="00FE12DB"/>
    <w:rsid w:val="00FE2F61"/>
    <w:rsid w:val="00FE350D"/>
    <w:rsid w:val="00FE4269"/>
    <w:rsid w:val="00FE44BC"/>
    <w:rsid w:val="00FE451A"/>
    <w:rsid w:val="00FE540A"/>
    <w:rsid w:val="00FE58DB"/>
    <w:rsid w:val="00FE59B2"/>
    <w:rsid w:val="00FE5DCE"/>
    <w:rsid w:val="00FE6EF6"/>
    <w:rsid w:val="00FF0116"/>
    <w:rsid w:val="00FF045C"/>
    <w:rsid w:val="00FF07B1"/>
    <w:rsid w:val="00FF114C"/>
    <w:rsid w:val="00FF1D71"/>
    <w:rsid w:val="00FF275E"/>
    <w:rsid w:val="00FF36C3"/>
    <w:rsid w:val="00FF4618"/>
    <w:rsid w:val="00FF5701"/>
    <w:rsid w:val="00FF5750"/>
    <w:rsid w:val="00FF7E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height-percent:200;mso-width-relative:margin;mso-height-relative:margin" fillcolor="white">
      <v:fill color="white"/>
      <v:textbox style="mso-fit-shape-to-text:t"/>
    </o:shapedefaults>
    <o:shapelayout v:ext="edit">
      <o:idmap v:ext="edit" data="1"/>
      <o:regrouptable v:ext="edit">
        <o:entry new="1" old="0"/>
        <o:entry new="2" old="0"/>
        <o:entry new="3" old="2"/>
        <o:entry new="4" old="3"/>
        <o:entry new="5" old="4"/>
        <o:entry new="6" old="0"/>
        <o:entry new="7" old="4"/>
        <o:entry new="8" old="4"/>
        <o:entry new="9" old="4"/>
        <o:entry new="10" old="4"/>
        <o:entry new="11" old="0"/>
        <o:entry new="12" old="0"/>
        <o:entry new="13" old="0"/>
        <o:entry new="14" old="0"/>
        <o:entry new="15" old="0"/>
        <o:entry new="16" old="0"/>
        <o:entry new="17" old="12"/>
        <o:entry new="18" old="12"/>
        <o:entry new="19" old="12"/>
        <o:entry new="20" old="12"/>
        <o:entry new="21" old="12"/>
        <o:entry new="22" old="0"/>
        <o:entry new="23" old="0"/>
        <o:entry new="24" old="12"/>
        <o:entry new="25" old="0"/>
        <o:entry new="26" old="0"/>
        <o:entry new="27" old="0"/>
        <o:entry new="28" old="0"/>
        <o:entry new="29" old="0"/>
        <o:entry new="30" old="0"/>
        <o:entry new="31" old="30"/>
        <o:entry new="32" old="0"/>
        <o:entry new="33" old="32"/>
        <o:entry new="34" old="0"/>
        <o:entry new="35" old="0"/>
        <o:entry new="36" old="0"/>
        <o:entry new="37" old="36"/>
        <o:entry new="38" old="0"/>
        <o:entry new="39" old="38"/>
        <o:entry new="40" old="0"/>
        <o:entry new="41" old="40"/>
        <o:entry new="42" old="28"/>
        <o:entry new="43" old="0"/>
        <o:entry new="44" old="28"/>
        <o:entry new="45" old="0"/>
        <o:entry new="46" old="0"/>
        <o:entry new="47" old="0"/>
        <o:entry new="48" old="0"/>
        <o:entry new="49" old="0"/>
        <o:entry new="50" old="49"/>
        <o:entry new="51" old="0"/>
        <o:entry new="52" old="0"/>
        <o:entry new="53" old="0"/>
        <o:entry new="54" old="52"/>
      </o:regrouptable>
    </o:shapelayout>
  </w:shapeDefaults>
  <w:decimalSymbol w:val="."/>
  <w:listSeparator w:val=","/>
  <w15:docId w15:val="{88E951DC-E1D7-4FFA-AD1B-39A2AA21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5E6"/>
    <w:pPr>
      <w:jc w:val="both"/>
    </w:pPr>
    <w:rPr>
      <w:sz w:val="22"/>
      <w:lang w:eastAsia="en-US"/>
    </w:rPr>
  </w:style>
  <w:style w:type="paragraph" w:styleId="Heading1">
    <w:name w:val="heading 1"/>
    <w:basedOn w:val="Normal"/>
    <w:next w:val="BodyText"/>
    <w:link w:val="Heading1Char"/>
    <w:qFormat/>
    <w:rsid w:val="002A60F5"/>
    <w:pPr>
      <w:keepNext/>
      <w:numPr>
        <w:numId w:val="26"/>
      </w:numPr>
      <w:spacing w:after="240"/>
      <w:jc w:val="left"/>
      <w:outlineLvl w:val="0"/>
    </w:pPr>
    <w:rPr>
      <w:rFonts w:ascii="Arial" w:hAnsi="Arial"/>
      <w:b/>
      <w:sz w:val="44"/>
      <w:szCs w:val="44"/>
    </w:rPr>
  </w:style>
  <w:style w:type="paragraph" w:styleId="Heading2">
    <w:name w:val="heading 2"/>
    <w:basedOn w:val="Normal"/>
    <w:next w:val="BodyText"/>
    <w:link w:val="Heading2Char"/>
    <w:qFormat/>
    <w:rsid w:val="000E26CA"/>
    <w:pPr>
      <w:keepNext/>
      <w:numPr>
        <w:ilvl w:val="1"/>
        <w:numId w:val="26"/>
      </w:numPr>
      <w:spacing w:before="240" w:after="240"/>
      <w:jc w:val="left"/>
      <w:outlineLvl w:val="1"/>
    </w:pPr>
    <w:rPr>
      <w:rFonts w:ascii="Arial" w:hAnsi="Arial" w:cs="Arial"/>
      <w:b/>
      <w:sz w:val="40"/>
      <w:szCs w:val="40"/>
    </w:rPr>
  </w:style>
  <w:style w:type="paragraph" w:styleId="Heading3">
    <w:name w:val="heading 3"/>
    <w:basedOn w:val="Normal"/>
    <w:next w:val="BodyText"/>
    <w:link w:val="Heading3Char"/>
    <w:qFormat/>
    <w:rsid w:val="00590731"/>
    <w:pPr>
      <w:keepNext/>
      <w:numPr>
        <w:ilvl w:val="2"/>
        <w:numId w:val="26"/>
      </w:numPr>
      <w:spacing w:before="240" w:after="240"/>
      <w:jc w:val="left"/>
      <w:outlineLvl w:val="2"/>
    </w:pPr>
    <w:rPr>
      <w:rFonts w:ascii="Arial" w:hAnsi="Arial" w:cs="Arial"/>
      <w:b/>
      <w:sz w:val="36"/>
      <w:szCs w:val="36"/>
    </w:rPr>
  </w:style>
  <w:style w:type="paragraph" w:styleId="Heading4">
    <w:name w:val="heading 4"/>
    <w:basedOn w:val="Normal"/>
    <w:next w:val="BodyText"/>
    <w:link w:val="Heading4Char"/>
    <w:qFormat/>
    <w:rsid w:val="007F05F8"/>
    <w:pPr>
      <w:keepNext/>
      <w:numPr>
        <w:ilvl w:val="3"/>
        <w:numId w:val="26"/>
      </w:numPr>
      <w:spacing w:before="240" w:after="240"/>
      <w:jc w:val="left"/>
      <w:outlineLvl w:val="3"/>
    </w:pPr>
    <w:rPr>
      <w:rFonts w:ascii="Arial" w:hAnsi="Arial" w:cs="Arial"/>
      <w:b/>
      <w:sz w:val="32"/>
      <w:szCs w:val="32"/>
      <w:lang w:val="en-US"/>
    </w:rPr>
  </w:style>
  <w:style w:type="paragraph" w:styleId="Heading5">
    <w:name w:val="heading 5"/>
    <w:basedOn w:val="Heading4"/>
    <w:next w:val="Normal"/>
    <w:link w:val="Heading5Char"/>
    <w:qFormat/>
    <w:rsid w:val="00725BF5"/>
    <w:pPr>
      <w:numPr>
        <w:ilvl w:val="4"/>
      </w:numPr>
      <w:spacing w:before="0" w:line="276" w:lineRule="auto"/>
      <w:outlineLvl w:val="4"/>
    </w:pPr>
    <w:rPr>
      <w:i/>
    </w:rPr>
  </w:style>
  <w:style w:type="paragraph" w:styleId="Heading6">
    <w:name w:val="heading 6"/>
    <w:basedOn w:val="Normal"/>
    <w:next w:val="Normal"/>
    <w:link w:val="Heading6Char"/>
    <w:qFormat/>
    <w:rsid w:val="003761F0"/>
    <w:pPr>
      <w:numPr>
        <w:ilvl w:val="5"/>
        <w:numId w:val="1"/>
      </w:numPr>
      <w:spacing w:before="240" w:after="60"/>
      <w:outlineLvl w:val="5"/>
    </w:pPr>
    <w:rPr>
      <w:i/>
    </w:rPr>
  </w:style>
  <w:style w:type="paragraph" w:styleId="Heading7">
    <w:name w:val="heading 7"/>
    <w:basedOn w:val="Normal"/>
    <w:next w:val="Normal"/>
    <w:link w:val="Heading7Char"/>
    <w:qFormat/>
    <w:rsid w:val="003761F0"/>
    <w:pPr>
      <w:numPr>
        <w:ilvl w:val="6"/>
        <w:numId w:val="26"/>
      </w:numPr>
      <w:spacing w:before="240" w:after="60"/>
      <w:outlineLvl w:val="6"/>
    </w:pPr>
    <w:rPr>
      <w:sz w:val="20"/>
    </w:rPr>
  </w:style>
  <w:style w:type="paragraph" w:styleId="Heading8">
    <w:name w:val="heading 8"/>
    <w:basedOn w:val="Normal"/>
    <w:next w:val="Normal"/>
    <w:link w:val="Heading8Char"/>
    <w:qFormat/>
    <w:rsid w:val="003761F0"/>
    <w:pPr>
      <w:numPr>
        <w:ilvl w:val="7"/>
        <w:numId w:val="26"/>
      </w:numPr>
      <w:spacing w:before="240" w:after="60"/>
      <w:outlineLvl w:val="7"/>
    </w:pPr>
    <w:rPr>
      <w:i/>
      <w:sz w:val="20"/>
    </w:rPr>
  </w:style>
  <w:style w:type="paragraph" w:styleId="Heading9">
    <w:name w:val="heading 9"/>
    <w:basedOn w:val="Normal"/>
    <w:next w:val="Normal"/>
    <w:link w:val="Heading9Char"/>
    <w:qFormat/>
    <w:rsid w:val="003761F0"/>
    <w:pPr>
      <w:numPr>
        <w:ilvl w:val="8"/>
        <w:numId w:val="2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1F0"/>
    <w:pPr>
      <w:tabs>
        <w:tab w:val="right" w:pos="9360"/>
      </w:tabs>
    </w:pPr>
    <w:rPr>
      <w:sz w:val="18"/>
    </w:rPr>
  </w:style>
  <w:style w:type="paragraph" w:styleId="Footer">
    <w:name w:val="footer"/>
    <w:basedOn w:val="Normal"/>
    <w:link w:val="FooterChar"/>
    <w:rsid w:val="003761F0"/>
    <w:pPr>
      <w:tabs>
        <w:tab w:val="right" w:pos="9360"/>
      </w:tabs>
    </w:pPr>
    <w:rPr>
      <w:sz w:val="18"/>
    </w:rPr>
  </w:style>
  <w:style w:type="character" w:styleId="PageNumber">
    <w:name w:val="page number"/>
    <w:basedOn w:val="DefaultParagraphFont"/>
    <w:rsid w:val="003761F0"/>
    <w:rPr>
      <w:rFonts w:ascii="Arial" w:hAnsi="Arial"/>
      <w:sz w:val="18"/>
    </w:rPr>
  </w:style>
  <w:style w:type="paragraph" w:styleId="BodyText2">
    <w:name w:val="Body Text 2"/>
    <w:basedOn w:val="Normal"/>
    <w:link w:val="BodyText2Char"/>
    <w:rsid w:val="003761F0"/>
    <w:pPr>
      <w:jc w:val="center"/>
    </w:pPr>
    <w:rPr>
      <w:sz w:val="24"/>
    </w:rPr>
  </w:style>
  <w:style w:type="paragraph" w:customStyle="1" w:styleId="Summary">
    <w:name w:val="Summary"/>
    <w:basedOn w:val="Normal"/>
    <w:next w:val="BodyText"/>
    <w:rsid w:val="003761F0"/>
    <w:pPr>
      <w:spacing w:after="240"/>
      <w:jc w:val="center"/>
    </w:pPr>
    <w:rPr>
      <w:b/>
    </w:rPr>
  </w:style>
  <w:style w:type="paragraph" w:styleId="Title">
    <w:name w:val="Title"/>
    <w:basedOn w:val="Normal"/>
    <w:link w:val="TitleChar"/>
    <w:qFormat/>
    <w:rsid w:val="003761F0"/>
    <w:pPr>
      <w:jc w:val="center"/>
    </w:pPr>
    <w:rPr>
      <w:b/>
    </w:rPr>
  </w:style>
  <w:style w:type="paragraph" w:styleId="Subtitle">
    <w:name w:val="Subtitle"/>
    <w:basedOn w:val="Normal"/>
    <w:link w:val="SubtitleChar"/>
    <w:qFormat/>
    <w:rsid w:val="003761F0"/>
    <w:pPr>
      <w:jc w:val="right"/>
    </w:pPr>
    <w:rPr>
      <w:b/>
    </w:rPr>
  </w:style>
  <w:style w:type="paragraph" w:styleId="TOC1">
    <w:name w:val="toc 1"/>
    <w:basedOn w:val="Normal"/>
    <w:next w:val="Normal"/>
    <w:uiPriority w:val="39"/>
    <w:rsid w:val="009A5052"/>
    <w:pPr>
      <w:tabs>
        <w:tab w:val="left" w:pos="1440"/>
        <w:tab w:val="right" w:leader="dot" w:pos="9360"/>
      </w:tabs>
      <w:ind w:left="1440" w:hanging="1440"/>
    </w:pPr>
    <w:rPr>
      <w:noProof/>
    </w:rPr>
  </w:style>
  <w:style w:type="paragraph" w:styleId="TOC2">
    <w:name w:val="toc 2"/>
    <w:basedOn w:val="Normal"/>
    <w:next w:val="Normal"/>
    <w:uiPriority w:val="39"/>
    <w:rsid w:val="003761F0"/>
    <w:pPr>
      <w:tabs>
        <w:tab w:val="left" w:pos="1080"/>
        <w:tab w:val="right" w:leader="dot" w:pos="9360"/>
      </w:tabs>
      <w:ind w:left="540"/>
    </w:pPr>
    <w:rPr>
      <w:noProof/>
    </w:rPr>
  </w:style>
  <w:style w:type="paragraph" w:styleId="TOC3">
    <w:name w:val="toc 3"/>
    <w:basedOn w:val="Normal"/>
    <w:next w:val="Normal"/>
    <w:uiPriority w:val="39"/>
    <w:rsid w:val="003761F0"/>
    <w:pPr>
      <w:tabs>
        <w:tab w:val="left" w:pos="1080"/>
        <w:tab w:val="left" w:pos="1800"/>
        <w:tab w:val="right" w:leader="dot" w:pos="9360"/>
      </w:tabs>
      <w:ind w:left="1080"/>
    </w:pPr>
    <w:rPr>
      <w:noProof/>
    </w:rPr>
  </w:style>
  <w:style w:type="paragraph" w:styleId="TOC4">
    <w:name w:val="toc 4"/>
    <w:basedOn w:val="Normal"/>
    <w:next w:val="Normal"/>
    <w:uiPriority w:val="39"/>
    <w:rsid w:val="003761F0"/>
    <w:pPr>
      <w:tabs>
        <w:tab w:val="left" w:pos="1800"/>
        <w:tab w:val="left" w:pos="2700"/>
        <w:tab w:val="right" w:leader="dot" w:pos="9360"/>
      </w:tabs>
      <w:ind w:left="1800"/>
    </w:pPr>
    <w:rPr>
      <w:noProof/>
    </w:rPr>
  </w:style>
  <w:style w:type="paragraph" w:styleId="TOC5">
    <w:name w:val="toc 5"/>
    <w:basedOn w:val="Normal"/>
    <w:next w:val="Normal"/>
    <w:uiPriority w:val="39"/>
    <w:rsid w:val="003761F0"/>
    <w:pPr>
      <w:tabs>
        <w:tab w:val="right" w:leader="dot" w:pos="9350"/>
      </w:tabs>
    </w:pPr>
  </w:style>
  <w:style w:type="paragraph" w:styleId="TOC6">
    <w:name w:val="toc 6"/>
    <w:basedOn w:val="Normal"/>
    <w:next w:val="Normal"/>
    <w:uiPriority w:val="39"/>
    <w:rsid w:val="003761F0"/>
    <w:pPr>
      <w:ind w:left="1100"/>
    </w:pPr>
  </w:style>
  <w:style w:type="paragraph" w:styleId="TOC7">
    <w:name w:val="toc 7"/>
    <w:basedOn w:val="Normal"/>
    <w:next w:val="Normal"/>
    <w:uiPriority w:val="39"/>
    <w:rsid w:val="003761F0"/>
    <w:pPr>
      <w:ind w:left="1320"/>
    </w:pPr>
  </w:style>
  <w:style w:type="paragraph" w:styleId="TOC8">
    <w:name w:val="toc 8"/>
    <w:basedOn w:val="Normal"/>
    <w:next w:val="Normal"/>
    <w:uiPriority w:val="39"/>
    <w:rsid w:val="003761F0"/>
    <w:pPr>
      <w:ind w:left="1540"/>
    </w:pPr>
  </w:style>
  <w:style w:type="paragraph" w:styleId="TOC9">
    <w:name w:val="toc 9"/>
    <w:basedOn w:val="Normal"/>
    <w:next w:val="Normal"/>
    <w:uiPriority w:val="39"/>
    <w:rsid w:val="003761F0"/>
    <w:pPr>
      <w:ind w:left="1760"/>
    </w:pPr>
  </w:style>
  <w:style w:type="paragraph" w:customStyle="1" w:styleId="References">
    <w:name w:val="References"/>
    <w:basedOn w:val="Normal"/>
    <w:next w:val="BodyText"/>
    <w:rsid w:val="003761F0"/>
    <w:pPr>
      <w:spacing w:after="240"/>
      <w:jc w:val="center"/>
    </w:pPr>
    <w:rPr>
      <w:b/>
    </w:rPr>
  </w:style>
  <w:style w:type="paragraph" w:customStyle="1" w:styleId="Appendix">
    <w:name w:val="Appendix"/>
    <w:basedOn w:val="Normal"/>
    <w:next w:val="BodyText"/>
    <w:rsid w:val="000951B2"/>
    <w:pPr>
      <w:numPr>
        <w:numId w:val="2"/>
      </w:numPr>
      <w:ind w:left="0" w:firstLine="0"/>
      <w:jc w:val="center"/>
    </w:pPr>
    <w:rPr>
      <w:b/>
    </w:rPr>
  </w:style>
  <w:style w:type="paragraph" w:styleId="BlockText">
    <w:name w:val="Block Text"/>
    <w:basedOn w:val="Normal"/>
    <w:rsid w:val="003761F0"/>
    <w:pPr>
      <w:spacing w:after="120"/>
      <w:ind w:left="1440" w:right="1440"/>
    </w:pPr>
  </w:style>
  <w:style w:type="paragraph" w:styleId="BodyText">
    <w:name w:val="Body Text"/>
    <w:basedOn w:val="Normal"/>
    <w:link w:val="BodyTextChar"/>
    <w:uiPriority w:val="99"/>
    <w:qFormat/>
    <w:rsid w:val="000E26CA"/>
    <w:pPr>
      <w:spacing w:before="240" w:line="276" w:lineRule="auto"/>
      <w:ind w:left="720"/>
      <w:jc w:val="left"/>
    </w:pPr>
    <w:rPr>
      <w:rFonts w:cs="Arial"/>
      <w:szCs w:val="22"/>
    </w:rPr>
  </w:style>
  <w:style w:type="paragraph" w:styleId="BodyText3">
    <w:name w:val="Body Text 3"/>
    <w:basedOn w:val="Normal"/>
    <w:link w:val="BodyText3Char"/>
    <w:rsid w:val="003761F0"/>
    <w:pPr>
      <w:spacing w:after="120"/>
    </w:pPr>
    <w:rPr>
      <w:sz w:val="16"/>
    </w:rPr>
  </w:style>
  <w:style w:type="paragraph" w:styleId="BodyTextFirstIndent">
    <w:name w:val="Body Text First Indent"/>
    <w:basedOn w:val="BodyText"/>
    <w:link w:val="BodyTextFirstIndentChar"/>
    <w:rsid w:val="003761F0"/>
    <w:pPr>
      <w:ind w:firstLine="210"/>
    </w:pPr>
  </w:style>
  <w:style w:type="paragraph" w:styleId="BodyTextIndent">
    <w:name w:val="Body Text Indent"/>
    <w:basedOn w:val="Normal"/>
    <w:link w:val="BodyTextIndentChar"/>
    <w:rsid w:val="003761F0"/>
    <w:pPr>
      <w:spacing w:after="120"/>
      <w:ind w:left="360"/>
    </w:pPr>
  </w:style>
  <w:style w:type="paragraph" w:styleId="BodyTextFirstIndent2">
    <w:name w:val="Body Text First Indent 2"/>
    <w:basedOn w:val="BodyTextIndent"/>
    <w:link w:val="BodyTextFirstIndent2Char"/>
    <w:rsid w:val="003761F0"/>
    <w:pPr>
      <w:ind w:firstLine="210"/>
    </w:pPr>
  </w:style>
  <w:style w:type="paragraph" w:styleId="BodyTextIndent2">
    <w:name w:val="Body Text Indent 2"/>
    <w:basedOn w:val="Normal"/>
    <w:link w:val="BodyTextIndent2Char"/>
    <w:rsid w:val="003761F0"/>
    <w:pPr>
      <w:spacing w:after="120" w:line="480" w:lineRule="auto"/>
      <w:ind w:left="360"/>
    </w:pPr>
  </w:style>
  <w:style w:type="paragraph" w:styleId="BodyTextIndent3">
    <w:name w:val="Body Text Indent 3"/>
    <w:basedOn w:val="Normal"/>
    <w:link w:val="BodyTextIndent3Char"/>
    <w:rsid w:val="003761F0"/>
    <w:pPr>
      <w:spacing w:after="120"/>
      <w:ind w:left="360"/>
    </w:pPr>
    <w:rPr>
      <w:sz w:val="16"/>
    </w:rPr>
  </w:style>
  <w:style w:type="paragraph" w:styleId="Caption">
    <w:name w:val="caption"/>
    <w:basedOn w:val="Normal"/>
    <w:next w:val="Normal"/>
    <w:link w:val="CaptionChar"/>
    <w:uiPriority w:val="35"/>
    <w:qFormat/>
    <w:rsid w:val="00DD4136"/>
    <w:pPr>
      <w:spacing w:after="120"/>
      <w:jc w:val="center"/>
    </w:pPr>
    <w:rPr>
      <w:b/>
    </w:rPr>
  </w:style>
  <w:style w:type="paragraph" w:styleId="Closing">
    <w:name w:val="Closing"/>
    <w:basedOn w:val="Normal"/>
    <w:link w:val="ClosingChar"/>
    <w:rsid w:val="003761F0"/>
    <w:pPr>
      <w:ind w:left="4320"/>
    </w:pPr>
  </w:style>
  <w:style w:type="character" w:styleId="CommentReference">
    <w:name w:val="annotation reference"/>
    <w:basedOn w:val="DefaultParagraphFont"/>
    <w:uiPriority w:val="99"/>
    <w:rsid w:val="003761F0"/>
    <w:rPr>
      <w:sz w:val="16"/>
    </w:rPr>
  </w:style>
  <w:style w:type="paragraph" w:styleId="CommentText">
    <w:name w:val="annotation text"/>
    <w:basedOn w:val="Normal"/>
    <w:link w:val="CommentTextChar1"/>
    <w:uiPriority w:val="99"/>
    <w:rsid w:val="003761F0"/>
    <w:rPr>
      <w:sz w:val="20"/>
    </w:rPr>
  </w:style>
  <w:style w:type="paragraph" w:styleId="Date">
    <w:name w:val="Date"/>
    <w:basedOn w:val="Normal"/>
    <w:next w:val="Normal"/>
    <w:link w:val="DateChar"/>
    <w:rsid w:val="003761F0"/>
  </w:style>
  <w:style w:type="paragraph" w:styleId="DocumentMap">
    <w:name w:val="Document Map"/>
    <w:basedOn w:val="Normal"/>
    <w:link w:val="DocumentMapChar"/>
    <w:semiHidden/>
    <w:rsid w:val="003761F0"/>
    <w:pPr>
      <w:shd w:val="clear" w:color="auto" w:fill="000080"/>
    </w:pPr>
    <w:rPr>
      <w:rFonts w:ascii="Tahoma" w:hAnsi="Tahoma"/>
    </w:rPr>
  </w:style>
  <w:style w:type="character" w:styleId="Emphasis">
    <w:name w:val="Emphasis"/>
    <w:basedOn w:val="DefaultParagraphFont"/>
    <w:uiPriority w:val="20"/>
    <w:qFormat/>
    <w:rsid w:val="003761F0"/>
    <w:rPr>
      <w:i/>
    </w:rPr>
  </w:style>
  <w:style w:type="character" w:styleId="EndnoteReference">
    <w:name w:val="endnote reference"/>
    <w:basedOn w:val="DefaultParagraphFont"/>
    <w:semiHidden/>
    <w:rsid w:val="003761F0"/>
    <w:rPr>
      <w:vertAlign w:val="superscript"/>
    </w:rPr>
  </w:style>
  <w:style w:type="paragraph" w:styleId="EndnoteText">
    <w:name w:val="endnote text"/>
    <w:basedOn w:val="Normal"/>
    <w:link w:val="EndnoteTextChar"/>
    <w:semiHidden/>
    <w:rsid w:val="003761F0"/>
    <w:rPr>
      <w:sz w:val="20"/>
    </w:rPr>
  </w:style>
  <w:style w:type="paragraph" w:styleId="EnvelopeAddress">
    <w:name w:val="envelope address"/>
    <w:basedOn w:val="Normal"/>
    <w:rsid w:val="003761F0"/>
    <w:pPr>
      <w:framePr w:w="7920" w:h="1980" w:hRule="exact" w:hSpace="180" w:wrap="auto" w:hAnchor="page" w:xAlign="center" w:yAlign="bottom"/>
      <w:ind w:left="2880"/>
    </w:pPr>
    <w:rPr>
      <w:sz w:val="24"/>
    </w:rPr>
  </w:style>
  <w:style w:type="paragraph" w:styleId="EnvelopeReturn">
    <w:name w:val="envelope return"/>
    <w:basedOn w:val="Normal"/>
    <w:rsid w:val="003761F0"/>
    <w:rPr>
      <w:sz w:val="20"/>
    </w:rPr>
  </w:style>
  <w:style w:type="character" w:styleId="FollowedHyperlink">
    <w:name w:val="FollowedHyperlink"/>
    <w:basedOn w:val="DefaultParagraphFont"/>
    <w:rsid w:val="003761F0"/>
    <w:rPr>
      <w:color w:val="800080"/>
      <w:u w:val="single"/>
    </w:rPr>
  </w:style>
  <w:style w:type="character" w:styleId="FootnoteReference">
    <w:name w:val="footnote reference"/>
    <w:basedOn w:val="DefaultParagraphFont"/>
    <w:uiPriority w:val="99"/>
    <w:rsid w:val="003761F0"/>
    <w:rPr>
      <w:vertAlign w:val="superscript"/>
    </w:rPr>
  </w:style>
  <w:style w:type="paragraph" w:styleId="FootnoteText">
    <w:name w:val="footnote text"/>
    <w:basedOn w:val="Normal"/>
    <w:link w:val="FootnoteTextChar"/>
    <w:uiPriority w:val="99"/>
    <w:rsid w:val="003761F0"/>
    <w:rPr>
      <w:sz w:val="20"/>
    </w:rPr>
  </w:style>
  <w:style w:type="character" w:styleId="Hyperlink">
    <w:name w:val="Hyperlink"/>
    <w:basedOn w:val="DefaultParagraphFont"/>
    <w:uiPriority w:val="99"/>
    <w:rsid w:val="003761F0"/>
    <w:rPr>
      <w:color w:val="0000FF"/>
      <w:u w:val="single"/>
    </w:rPr>
  </w:style>
  <w:style w:type="paragraph" w:styleId="Index1">
    <w:name w:val="index 1"/>
    <w:basedOn w:val="Normal"/>
    <w:next w:val="Normal"/>
    <w:rsid w:val="003761F0"/>
    <w:pPr>
      <w:ind w:left="220" w:hanging="220"/>
    </w:pPr>
  </w:style>
  <w:style w:type="paragraph" w:styleId="Index2">
    <w:name w:val="index 2"/>
    <w:basedOn w:val="Normal"/>
    <w:next w:val="Normal"/>
    <w:semiHidden/>
    <w:rsid w:val="003761F0"/>
    <w:pPr>
      <w:ind w:left="440" w:hanging="220"/>
    </w:pPr>
  </w:style>
  <w:style w:type="paragraph" w:styleId="Index3">
    <w:name w:val="index 3"/>
    <w:basedOn w:val="Normal"/>
    <w:next w:val="Normal"/>
    <w:semiHidden/>
    <w:rsid w:val="003761F0"/>
    <w:pPr>
      <w:ind w:left="660" w:hanging="220"/>
    </w:pPr>
  </w:style>
  <w:style w:type="paragraph" w:styleId="Index4">
    <w:name w:val="index 4"/>
    <w:basedOn w:val="Normal"/>
    <w:next w:val="Normal"/>
    <w:semiHidden/>
    <w:rsid w:val="003761F0"/>
    <w:pPr>
      <w:ind w:left="880" w:hanging="220"/>
    </w:pPr>
  </w:style>
  <w:style w:type="paragraph" w:styleId="Index5">
    <w:name w:val="index 5"/>
    <w:basedOn w:val="Normal"/>
    <w:next w:val="Normal"/>
    <w:semiHidden/>
    <w:rsid w:val="003761F0"/>
    <w:pPr>
      <w:ind w:left="1100" w:hanging="220"/>
    </w:pPr>
  </w:style>
  <w:style w:type="paragraph" w:styleId="Index6">
    <w:name w:val="index 6"/>
    <w:basedOn w:val="Normal"/>
    <w:next w:val="Normal"/>
    <w:semiHidden/>
    <w:rsid w:val="003761F0"/>
    <w:pPr>
      <w:ind w:left="1320" w:hanging="220"/>
    </w:pPr>
  </w:style>
  <w:style w:type="paragraph" w:styleId="Index7">
    <w:name w:val="index 7"/>
    <w:basedOn w:val="Normal"/>
    <w:next w:val="Normal"/>
    <w:semiHidden/>
    <w:rsid w:val="003761F0"/>
    <w:pPr>
      <w:ind w:left="1540" w:hanging="220"/>
    </w:pPr>
  </w:style>
  <w:style w:type="paragraph" w:styleId="Index8">
    <w:name w:val="index 8"/>
    <w:basedOn w:val="Normal"/>
    <w:next w:val="Normal"/>
    <w:semiHidden/>
    <w:rsid w:val="003761F0"/>
    <w:pPr>
      <w:ind w:left="1760" w:hanging="220"/>
    </w:pPr>
  </w:style>
  <w:style w:type="paragraph" w:styleId="Index9">
    <w:name w:val="index 9"/>
    <w:basedOn w:val="Normal"/>
    <w:next w:val="Normal"/>
    <w:semiHidden/>
    <w:rsid w:val="003761F0"/>
    <w:pPr>
      <w:ind w:left="1980" w:hanging="220"/>
    </w:pPr>
  </w:style>
  <w:style w:type="paragraph" w:styleId="IndexHeading">
    <w:name w:val="index heading"/>
    <w:basedOn w:val="Normal"/>
    <w:next w:val="Index1"/>
    <w:semiHidden/>
    <w:rsid w:val="003761F0"/>
    <w:rPr>
      <w:b/>
    </w:rPr>
  </w:style>
  <w:style w:type="character" w:styleId="LineNumber">
    <w:name w:val="line number"/>
    <w:basedOn w:val="DefaultParagraphFont"/>
    <w:rsid w:val="003761F0"/>
  </w:style>
  <w:style w:type="paragraph" w:styleId="List">
    <w:name w:val="List"/>
    <w:basedOn w:val="BodyText"/>
    <w:rsid w:val="00D869FA"/>
    <w:pPr>
      <w:numPr>
        <w:numId w:val="25"/>
      </w:numPr>
      <w:spacing w:before="80" w:after="80"/>
      <w:ind w:left="1267"/>
    </w:pPr>
  </w:style>
  <w:style w:type="paragraph" w:styleId="List2">
    <w:name w:val="List 2"/>
    <w:basedOn w:val="Normal"/>
    <w:rsid w:val="003761F0"/>
    <w:pPr>
      <w:ind w:left="720" w:hanging="360"/>
    </w:pPr>
  </w:style>
  <w:style w:type="paragraph" w:styleId="List3">
    <w:name w:val="List 3"/>
    <w:basedOn w:val="Normal"/>
    <w:rsid w:val="003761F0"/>
    <w:pPr>
      <w:ind w:left="1080" w:hanging="360"/>
    </w:pPr>
  </w:style>
  <w:style w:type="paragraph" w:styleId="List4">
    <w:name w:val="List 4"/>
    <w:basedOn w:val="Normal"/>
    <w:rsid w:val="003761F0"/>
    <w:pPr>
      <w:ind w:left="1440" w:hanging="360"/>
    </w:pPr>
  </w:style>
  <w:style w:type="paragraph" w:styleId="List5">
    <w:name w:val="List 5"/>
    <w:basedOn w:val="Normal"/>
    <w:rsid w:val="003761F0"/>
    <w:pPr>
      <w:ind w:left="1800" w:hanging="360"/>
    </w:pPr>
  </w:style>
  <w:style w:type="paragraph" w:styleId="ListBullet">
    <w:name w:val="List Bullet"/>
    <w:basedOn w:val="Normal"/>
    <w:rsid w:val="00F41E1C"/>
    <w:pPr>
      <w:spacing w:line="264" w:lineRule="auto"/>
    </w:pPr>
  </w:style>
  <w:style w:type="paragraph" w:styleId="ListBullet2">
    <w:name w:val="List Bullet 2"/>
    <w:basedOn w:val="Normal"/>
    <w:uiPriority w:val="99"/>
    <w:rsid w:val="003761F0"/>
    <w:pPr>
      <w:numPr>
        <w:numId w:val="3"/>
      </w:numPr>
      <w:tabs>
        <w:tab w:val="clear" w:pos="720"/>
        <w:tab w:val="left" w:pos="504"/>
      </w:tabs>
      <w:ind w:left="504" w:hanging="144"/>
    </w:pPr>
  </w:style>
  <w:style w:type="paragraph" w:styleId="ListBullet3">
    <w:name w:val="List Bullet 3"/>
    <w:basedOn w:val="Normal"/>
    <w:rsid w:val="003761F0"/>
    <w:pPr>
      <w:numPr>
        <w:numId w:val="4"/>
      </w:numPr>
      <w:tabs>
        <w:tab w:val="clear" w:pos="1080"/>
        <w:tab w:val="left" w:pos="864"/>
      </w:tabs>
      <w:ind w:left="864" w:hanging="144"/>
    </w:pPr>
  </w:style>
  <w:style w:type="paragraph" w:styleId="ListBullet4">
    <w:name w:val="List Bullet 4"/>
    <w:basedOn w:val="Normal"/>
    <w:rsid w:val="003761F0"/>
    <w:pPr>
      <w:numPr>
        <w:numId w:val="5"/>
      </w:numPr>
    </w:pPr>
  </w:style>
  <w:style w:type="paragraph" w:styleId="ListBullet5">
    <w:name w:val="List Bullet 5"/>
    <w:basedOn w:val="Normal"/>
    <w:rsid w:val="003761F0"/>
    <w:pPr>
      <w:numPr>
        <w:numId w:val="6"/>
      </w:numPr>
    </w:pPr>
  </w:style>
  <w:style w:type="paragraph" w:styleId="ListContinue">
    <w:name w:val="List Continue"/>
    <w:basedOn w:val="Normal"/>
    <w:rsid w:val="003761F0"/>
    <w:pPr>
      <w:spacing w:after="120"/>
      <w:ind w:left="360"/>
    </w:pPr>
  </w:style>
  <w:style w:type="paragraph" w:styleId="ListContinue2">
    <w:name w:val="List Continue 2"/>
    <w:basedOn w:val="Normal"/>
    <w:rsid w:val="003761F0"/>
    <w:pPr>
      <w:spacing w:after="120"/>
      <w:ind w:left="720"/>
    </w:pPr>
  </w:style>
  <w:style w:type="paragraph" w:styleId="ListContinue3">
    <w:name w:val="List Continue 3"/>
    <w:basedOn w:val="Normal"/>
    <w:rsid w:val="003761F0"/>
    <w:pPr>
      <w:spacing w:after="120"/>
      <w:ind w:left="1080"/>
    </w:pPr>
  </w:style>
  <w:style w:type="paragraph" w:styleId="ListContinue4">
    <w:name w:val="List Continue 4"/>
    <w:basedOn w:val="Normal"/>
    <w:rsid w:val="003761F0"/>
    <w:pPr>
      <w:spacing w:after="120"/>
      <w:ind w:left="1440"/>
    </w:pPr>
  </w:style>
  <w:style w:type="paragraph" w:styleId="ListContinue5">
    <w:name w:val="List Continue 5"/>
    <w:basedOn w:val="Normal"/>
    <w:rsid w:val="003761F0"/>
    <w:pPr>
      <w:spacing w:after="120"/>
      <w:ind w:left="1800"/>
    </w:pPr>
  </w:style>
  <w:style w:type="paragraph" w:styleId="ListNumber">
    <w:name w:val="List Number"/>
    <w:basedOn w:val="Normal"/>
    <w:rsid w:val="003761F0"/>
    <w:pPr>
      <w:numPr>
        <w:numId w:val="7"/>
      </w:numPr>
    </w:pPr>
  </w:style>
  <w:style w:type="paragraph" w:styleId="ListNumber2">
    <w:name w:val="List Number 2"/>
    <w:basedOn w:val="Normal"/>
    <w:rsid w:val="003761F0"/>
    <w:pPr>
      <w:numPr>
        <w:numId w:val="8"/>
      </w:numPr>
    </w:pPr>
  </w:style>
  <w:style w:type="paragraph" w:styleId="ListNumber3">
    <w:name w:val="List Number 3"/>
    <w:basedOn w:val="Normal"/>
    <w:rsid w:val="003761F0"/>
    <w:pPr>
      <w:numPr>
        <w:numId w:val="9"/>
      </w:numPr>
    </w:pPr>
  </w:style>
  <w:style w:type="paragraph" w:styleId="ListNumber4">
    <w:name w:val="List Number 4"/>
    <w:basedOn w:val="Normal"/>
    <w:rsid w:val="003761F0"/>
    <w:pPr>
      <w:numPr>
        <w:numId w:val="10"/>
      </w:numPr>
    </w:pPr>
  </w:style>
  <w:style w:type="paragraph" w:styleId="ListNumber5">
    <w:name w:val="List Number 5"/>
    <w:basedOn w:val="Normal"/>
    <w:rsid w:val="003761F0"/>
    <w:pPr>
      <w:numPr>
        <w:numId w:val="11"/>
      </w:numPr>
    </w:pPr>
  </w:style>
  <w:style w:type="paragraph" w:styleId="MacroText">
    <w:name w:val="macro"/>
    <w:link w:val="MacroTextChar"/>
    <w:semiHidden/>
    <w:rsid w:val="003761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link w:val="MessageHeaderChar"/>
    <w:rsid w:val="003761F0"/>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3761F0"/>
    <w:pPr>
      <w:ind w:left="720"/>
    </w:pPr>
  </w:style>
  <w:style w:type="paragraph" w:styleId="NoteHeading">
    <w:name w:val="Note Heading"/>
    <w:basedOn w:val="Normal"/>
    <w:next w:val="Normal"/>
    <w:link w:val="NoteHeadingChar"/>
    <w:rsid w:val="003761F0"/>
  </w:style>
  <w:style w:type="paragraph" w:styleId="PlainText">
    <w:name w:val="Plain Text"/>
    <w:basedOn w:val="Normal"/>
    <w:link w:val="PlainTextChar"/>
    <w:rsid w:val="003761F0"/>
    <w:rPr>
      <w:rFonts w:ascii="Courier New" w:hAnsi="Courier New"/>
      <w:sz w:val="20"/>
    </w:rPr>
  </w:style>
  <w:style w:type="paragraph" w:styleId="Salutation">
    <w:name w:val="Salutation"/>
    <w:basedOn w:val="Normal"/>
    <w:next w:val="Normal"/>
    <w:link w:val="SalutationChar"/>
    <w:rsid w:val="003761F0"/>
  </w:style>
  <w:style w:type="paragraph" w:styleId="Signature">
    <w:name w:val="Signature"/>
    <w:basedOn w:val="Normal"/>
    <w:link w:val="SignatureChar"/>
    <w:rsid w:val="003761F0"/>
    <w:pPr>
      <w:ind w:left="4320"/>
    </w:pPr>
  </w:style>
  <w:style w:type="character" w:styleId="Strong">
    <w:name w:val="Strong"/>
    <w:basedOn w:val="DefaultParagraphFont"/>
    <w:qFormat/>
    <w:rsid w:val="003761F0"/>
    <w:rPr>
      <w:b/>
    </w:rPr>
  </w:style>
  <w:style w:type="paragraph" w:styleId="TableofAuthorities">
    <w:name w:val="table of authorities"/>
    <w:basedOn w:val="Normal"/>
    <w:next w:val="Normal"/>
    <w:semiHidden/>
    <w:rsid w:val="003761F0"/>
    <w:pPr>
      <w:ind w:left="220" w:hanging="220"/>
    </w:pPr>
  </w:style>
  <w:style w:type="paragraph" w:styleId="TableofFigures">
    <w:name w:val="table of figures"/>
    <w:basedOn w:val="Normal"/>
    <w:next w:val="Normal"/>
    <w:uiPriority w:val="99"/>
    <w:rsid w:val="00B73667"/>
    <w:pPr>
      <w:tabs>
        <w:tab w:val="left" w:pos="1440"/>
        <w:tab w:val="right" w:leader="dot" w:pos="9346"/>
      </w:tabs>
      <w:ind w:left="1440" w:hanging="1440"/>
      <w:jc w:val="left"/>
    </w:pPr>
    <w:rPr>
      <w:sz w:val="20"/>
    </w:rPr>
  </w:style>
  <w:style w:type="paragraph" w:styleId="TOAHeading">
    <w:name w:val="toa heading"/>
    <w:basedOn w:val="Normal"/>
    <w:next w:val="Normal"/>
    <w:semiHidden/>
    <w:rsid w:val="003761F0"/>
    <w:pPr>
      <w:spacing w:before="120"/>
    </w:pPr>
    <w:rPr>
      <w:b/>
      <w:sz w:val="24"/>
    </w:rPr>
  </w:style>
  <w:style w:type="paragraph" w:customStyle="1" w:styleId="TableofContents">
    <w:name w:val="Table of Contents"/>
    <w:basedOn w:val="References"/>
    <w:rsid w:val="003761F0"/>
    <w:rPr>
      <w:caps/>
    </w:rPr>
  </w:style>
  <w:style w:type="paragraph" w:customStyle="1" w:styleId="Attachments">
    <w:name w:val="Attachments"/>
    <w:basedOn w:val="Normal"/>
    <w:next w:val="Attachments2"/>
    <w:rsid w:val="003761F0"/>
    <w:pPr>
      <w:ind w:left="1440" w:hanging="1440"/>
    </w:pPr>
  </w:style>
  <w:style w:type="paragraph" w:customStyle="1" w:styleId="Attachments2">
    <w:name w:val="Attachments 2"/>
    <w:basedOn w:val="Normal"/>
    <w:rsid w:val="003761F0"/>
    <w:pPr>
      <w:ind w:left="1440"/>
    </w:pPr>
  </w:style>
  <w:style w:type="paragraph" w:styleId="BalloonText">
    <w:name w:val="Balloon Text"/>
    <w:basedOn w:val="Normal"/>
    <w:link w:val="BalloonTextChar"/>
    <w:uiPriority w:val="99"/>
    <w:rsid w:val="000F1CB7"/>
    <w:rPr>
      <w:rFonts w:ascii="Tahoma" w:hAnsi="Tahoma" w:cs="Tahoma"/>
      <w:sz w:val="16"/>
      <w:szCs w:val="16"/>
    </w:rPr>
  </w:style>
  <w:style w:type="paragraph" w:customStyle="1" w:styleId="Tables">
    <w:name w:val="Tables"/>
    <w:basedOn w:val="Normal"/>
    <w:rsid w:val="003761F0"/>
  </w:style>
  <w:style w:type="paragraph" w:customStyle="1" w:styleId="TitlePage">
    <w:name w:val="Title Page"/>
    <w:rsid w:val="003761F0"/>
    <w:pPr>
      <w:jc w:val="center"/>
    </w:pPr>
    <w:rPr>
      <w:rFonts w:ascii="Arial" w:hAnsi="Arial"/>
      <w:b/>
      <w:caps/>
      <w:sz w:val="22"/>
      <w:lang w:eastAsia="en-US"/>
    </w:rPr>
  </w:style>
  <w:style w:type="paragraph" w:customStyle="1" w:styleId="AMECBullet">
    <w:name w:val="AMEC Bullet"/>
    <w:rsid w:val="009D0894"/>
    <w:pPr>
      <w:numPr>
        <w:numId w:val="13"/>
      </w:numPr>
      <w:spacing w:before="60" w:after="60" w:line="264" w:lineRule="auto"/>
      <w:jc w:val="both"/>
    </w:pPr>
    <w:rPr>
      <w:rFonts w:ascii="Arial" w:hAnsi="Arial"/>
      <w:sz w:val="22"/>
      <w:lang w:eastAsia="en-US"/>
    </w:rPr>
  </w:style>
  <w:style w:type="paragraph" w:customStyle="1" w:styleId="AMECNumber">
    <w:name w:val="AMEC Number"/>
    <w:rsid w:val="00F41E1C"/>
    <w:pPr>
      <w:numPr>
        <w:numId w:val="12"/>
      </w:numPr>
      <w:spacing w:line="264" w:lineRule="auto"/>
      <w:jc w:val="both"/>
    </w:pPr>
    <w:rPr>
      <w:rFonts w:ascii="Arial" w:hAnsi="Arial"/>
      <w:sz w:val="22"/>
      <w:lang w:eastAsia="en-US"/>
    </w:rPr>
  </w:style>
  <w:style w:type="character" w:customStyle="1" w:styleId="SubtitleChar">
    <w:name w:val="Subtitle Char"/>
    <w:basedOn w:val="DefaultParagraphFont"/>
    <w:link w:val="Subtitle"/>
    <w:locked/>
    <w:rsid w:val="001B2473"/>
    <w:rPr>
      <w:rFonts w:ascii="Arial" w:hAnsi="Arial"/>
      <w:b/>
      <w:sz w:val="22"/>
      <w:lang w:eastAsia="en-US"/>
    </w:rPr>
  </w:style>
  <w:style w:type="paragraph" w:styleId="E-mailSignature">
    <w:name w:val="E-mail Signature"/>
    <w:basedOn w:val="Normal"/>
    <w:link w:val="E-mailSignatureChar"/>
    <w:rsid w:val="003761F0"/>
  </w:style>
  <w:style w:type="character" w:customStyle="1" w:styleId="BodyTextChar">
    <w:name w:val="Body Text Char"/>
    <w:basedOn w:val="DefaultParagraphFont"/>
    <w:link w:val="BodyText"/>
    <w:uiPriority w:val="99"/>
    <w:locked/>
    <w:rsid w:val="000E26CA"/>
    <w:rPr>
      <w:rFonts w:cs="Arial"/>
      <w:sz w:val="22"/>
      <w:szCs w:val="22"/>
      <w:lang w:eastAsia="en-US"/>
    </w:rPr>
  </w:style>
  <w:style w:type="character" w:customStyle="1" w:styleId="Heading1Char">
    <w:name w:val="Heading 1 Char"/>
    <w:basedOn w:val="DefaultParagraphFont"/>
    <w:link w:val="Heading1"/>
    <w:locked/>
    <w:rsid w:val="002A60F5"/>
    <w:rPr>
      <w:rFonts w:ascii="Arial" w:hAnsi="Arial"/>
      <w:b/>
      <w:sz w:val="44"/>
      <w:szCs w:val="44"/>
      <w:lang w:eastAsia="en-US"/>
    </w:rPr>
  </w:style>
  <w:style w:type="character" w:customStyle="1" w:styleId="Heading2Char">
    <w:name w:val="Heading 2 Char"/>
    <w:basedOn w:val="DefaultParagraphFont"/>
    <w:link w:val="Heading2"/>
    <w:locked/>
    <w:rsid w:val="000E26CA"/>
    <w:rPr>
      <w:rFonts w:ascii="Arial" w:hAnsi="Arial" w:cs="Arial"/>
      <w:b/>
      <w:sz w:val="40"/>
      <w:szCs w:val="40"/>
      <w:lang w:eastAsia="en-US"/>
    </w:rPr>
  </w:style>
  <w:style w:type="character" w:customStyle="1" w:styleId="Heading3Char">
    <w:name w:val="Heading 3 Char"/>
    <w:basedOn w:val="DefaultParagraphFont"/>
    <w:link w:val="Heading3"/>
    <w:locked/>
    <w:rsid w:val="00590731"/>
    <w:rPr>
      <w:rFonts w:ascii="Arial" w:hAnsi="Arial" w:cs="Arial"/>
      <w:b/>
      <w:sz w:val="36"/>
      <w:szCs w:val="36"/>
      <w:lang w:eastAsia="en-US"/>
    </w:rPr>
  </w:style>
  <w:style w:type="character" w:customStyle="1" w:styleId="Heading4Char">
    <w:name w:val="Heading 4 Char"/>
    <w:basedOn w:val="DefaultParagraphFont"/>
    <w:link w:val="Heading4"/>
    <w:locked/>
    <w:rsid w:val="007F05F8"/>
    <w:rPr>
      <w:rFonts w:ascii="Arial" w:hAnsi="Arial" w:cs="Arial"/>
      <w:b/>
      <w:sz w:val="32"/>
      <w:szCs w:val="32"/>
      <w:lang w:val="en-US" w:eastAsia="en-US"/>
    </w:rPr>
  </w:style>
  <w:style w:type="character" w:customStyle="1" w:styleId="Heading5Char">
    <w:name w:val="Heading 5 Char"/>
    <w:basedOn w:val="DefaultParagraphFont"/>
    <w:link w:val="Heading5"/>
    <w:locked/>
    <w:rsid w:val="00725BF5"/>
    <w:rPr>
      <w:rFonts w:ascii="Arial" w:hAnsi="Arial" w:cs="Arial"/>
      <w:b/>
      <w:i/>
      <w:sz w:val="32"/>
      <w:szCs w:val="32"/>
      <w:lang w:val="en-US" w:eastAsia="en-US"/>
    </w:rPr>
  </w:style>
  <w:style w:type="character" w:customStyle="1" w:styleId="Heading6Char">
    <w:name w:val="Heading 6 Char"/>
    <w:basedOn w:val="DefaultParagraphFont"/>
    <w:link w:val="Heading6"/>
    <w:locked/>
    <w:rsid w:val="001B2473"/>
    <w:rPr>
      <w:i/>
      <w:sz w:val="22"/>
      <w:lang w:eastAsia="en-US"/>
    </w:rPr>
  </w:style>
  <w:style w:type="character" w:customStyle="1" w:styleId="Heading7Char">
    <w:name w:val="Heading 7 Char"/>
    <w:basedOn w:val="DefaultParagraphFont"/>
    <w:link w:val="Heading7"/>
    <w:locked/>
    <w:rsid w:val="001B2473"/>
    <w:rPr>
      <w:lang w:eastAsia="en-US"/>
    </w:rPr>
  </w:style>
  <w:style w:type="character" w:customStyle="1" w:styleId="Heading8Char">
    <w:name w:val="Heading 8 Char"/>
    <w:basedOn w:val="DefaultParagraphFont"/>
    <w:link w:val="Heading8"/>
    <w:locked/>
    <w:rsid w:val="001B2473"/>
    <w:rPr>
      <w:i/>
      <w:lang w:eastAsia="en-US"/>
    </w:rPr>
  </w:style>
  <w:style w:type="character" w:customStyle="1" w:styleId="Heading9Char">
    <w:name w:val="Heading 9 Char"/>
    <w:basedOn w:val="DefaultParagraphFont"/>
    <w:link w:val="Heading9"/>
    <w:locked/>
    <w:rsid w:val="001B2473"/>
    <w:rPr>
      <w:b/>
      <w:i/>
      <w:sz w:val="18"/>
      <w:lang w:eastAsia="en-US"/>
    </w:rPr>
  </w:style>
  <w:style w:type="character" w:customStyle="1" w:styleId="HeaderChar">
    <w:name w:val="Header Char"/>
    <w:basedOn w:val="DefaultParagraphFont"/>
    <w:link w:val="Header"/>
    <w:locked/>
    <w:rsid w:val="001B2473"/>
    <w:rPr>
      <w:rFonts w:ascii="Arial" w:hAnsi="Arial"/>
      <w:sz w:val="18"/>
      <w:lang w:eastAsia="en-US"/>
    </w:rPr>
  </w:style>
  <w:style w:type="character" w:customStyle="1" w:styleId="FooterChar">
    <w:name w:val="Footer Char"/>
    <w:basedOn w:val="DefaultParagraphFont"/>
    <w:link w:val="Footer"/>
    <w:locked/>
    <w:rsid w:val="001B2473"/>
    <w:rPr>
      <w:rFonts w:ascii="Arial" w:hAnsi="Arial"/>
      <w:sz w:val="18"/>
      <w:lang w:eastAsia="en-US"/>
    </w:rPr>
  </w:style>
  <w:style w:type="character" w:customStyle="1" w:styleId="BodyText2Char">
    <w:name w:val="Body Text 2 Char"/>
    <w:basedOn w:val="DefaultParagraphFont"/>
    <w:link w:val="BodyText2"/>
    <w:locked/>
    <w:rsid w:val="001B2473"/>
    <w:rPr>
      <w:rFonts w:ascii="Arial" w:hAnsi="Arial"/>
      <w:sz w:val="24"/>
      <w:lang w:eastAsia="en-US"/>
    </w:rPr>
  </w:style>
  <w:style w:type="character" w:customStyle="1" w:styleId="TitleChar">
    <w:name w:val="Title Char"/>
    <w:basedOn w:val="DefaultParagraphFont"/>
    <w:link w:val="Title"/>
    <w:locked/>
    <w:rsid w:val="001B2473"/>
    <w:rPr>
      <w:rFonts w:ascii="Arial" w:hAnsi="Arial"/>
      <w:b/>
      <w:sz w:val="22"/>
      <w:lang w:eastAsia="en-US"/>
    </w:rPr>
  </w:style>
  <w:style w:type="character" w:customStyle="1" w:styleId="BodyText3Char">
    <w:name w:val="Body Text 3 Char"/>
    <w:basedOn w:val="DefaultParagraphFont"/>
    <w:link w:val="BodyText3"/>
    <w:locked/>
    <w:rsid w:val="001B2473"/>
    <w:rPr>
      <w:rFonts w:ascii="Arial" w:hAnsi="Arial"/>
      <w:sz w:val="16"/>
      <w:lang w:eastAsia="en-US"/>
    </w:rPr>
  </w:style>
  <w:style w:type="character" w:customStyle="1" w:styleId="BodyTextFirstIndentChar">
    <w:name w:val="Body Text First Indent Char"/>
    <w:basedOn w:val="BodyTextChar"/>
    <w:link w:val="BodyTextFirstIndent"/>
    <w:locked/>
    <w:rsid w:val="001B2473"/>
    <w:rPr>
      <w:rFonts w:ascii="Arial" w:hAnsi="Arial" w:cs="Arial"/>
      <w:sz w:val="22"/>
      <w:szCs w:val="22"/>
      <w:lang w:eastAsia="en-US"/>
    </w:rPr>
  </w:style>
  <w:style w:type="character" w:customStyle="1" w:styleId="BodyTextIndentChar">
    <w:name w:val="Body Text Indent Char"/>
    <w:basedOn w:val="DefaultParagraphFont"/>
    <w:link w:val="BodyTextIndent"/>
    <w:locked/>
    <w:rsid w:val="001B2473"/>
    <w:rPr>
      <w:rFonts w:ascii="Arial" w:hAnsi="Arial"/>
      <w:sz w:val="22"/>
      <w:lang w:eastAsia="en-US"/>
    </w:rPr>
  </w:style>
  <w:style w:type="character" w:customStyle="1" w:styleId="BodyTextFirstIndent2Char">
    <w:name w:val="Body Text First Indent 2 Char"/>
    <w:basedOn w:val="BodyTextIndentChar"/>
    <w:link w:val="BodyTextFirstIndent2"/>
    <w:locked/>
    <w:rsid w:val="001B2473"/>
    <w:rPr>
      <w:rFonts w:ascii="Arial" w:hAnsi="Arial"/>
      <w:sz w:val="22"/>
      <w:lang w:eastAsia="en-US"/>
    </w:rPr>
  </w:style>
  <w:style w:type="character" w:customStyle="1" w:styleId="BodyTextIndent2Char">
    <w:name w:val="Body Text Indent 2 Char"/>
    <w:basedOn w:val="DefaultParagraphFont"/>
    <w:link w:val="BodyTextIndent2"/>
    <w:locked/>
    <w:rsid w:val="001B2473"/>
    <w:rPr>
      <w:rFonts w:ascii="Arial" w:hAnsi="Arial"/>
      <w:sz w:val="22"/>
      <w:lang w:eastAsia="en-US"/>
    </w:rPr>
  </w:style>
  <w:style w:type="character" w:customStyle="1" w:styleId="BodyTextIndent3Char">
    <w:name w:val="Body Text Indent 3 Char"/>
    <w:basedOn w:val="DefaultParagraphFont"/>
    <w:link w:val="BodyTextIndent3"/>
    <w:locked/>
    <w:rsid w:val="001B2473"/>
    <w:rPr>
      <w:rFonts w:ascii="Arial" w:hAnsi="Arial"/>
      <w:sz w:val="16"/>
      <w:lang w:eastAsia="en-US"/>
    </w:rPr>
  </w:style>
  <w:style w:type="character" w:customStyle="1" w:styleId="ClosingChar">
    <w:name w:val="Closing Char"/>
    <w:basedOn w:val="DefaultParagraphFont"/>
    <w:link w:val="Closing"/>
    <w:locked/>
    <w:rsid w:val="001B2473"/>
    <w:rPr>
      <w:rFonts w:ascii="Arial" w:hAnsi="Arial"/>
      <w:sz w:val="22"/>
      <w:lang w:eastAsia="en-US"/>
    </w:rPr>
  </w:style>
  <w:style w:type="character" w:customStyle="1" w:styleId="CommentTextChar">
    <w:name w:val="Comment Text Char"/>
    <w:basedOn w:val="DefaultParagraphFont"/>
    <w:uiPriority w:val="99"/>
    <w:locked/>
    <w:rsid w:val="001B2473"/>
    <w:rPr>
      <w:rFonts w:ascii="Arial" w:hAnsi="Arial"/>
      <w:sz w:val="20"/>
      <w:szCs w:val="20"/>
      <w:lang w:val="en-CA"/>
    </w:rPr>
  </w:style>
  <w:style w:type="character" w:customStyle="1" w:styleId="DateChar">
    <w:name w:val="Date Char"/>
    <w:basedOn w:val="DefaultParagraphFont"/>
    <w:link w:val="Date"/>
    <w:locked/>
    <w:rsid w:val="001B2473"/>
    <w:rPr>
      <w:rFonts w:ascii="Arial" w:hAnsi="Arial"/>
      <w:sz w:val="22"/>
      <w:lang w:eastAsia="en-US"/>
    </w:rPr>
  </w:style>
  <w:style w:type="character" w:customStyle="1" w:styleId="DocumentMapChar">
    <w:name w:val="Document Map Char"/>
    <w:basedOn w:val="DefaultParagraphFont"/>
    <w:link w:val="DocumentMap"/>
    <w:semiHidden/>
    <w:locked/>
    <w:rsid w:val="001B2473"/>
    <w:rPr>
      <w:rFonts w:ascii="Tahoma" w:hAnsi="Tahoma"/>
      <w:sz w:val="22"/>
      <w:shd w:val="clear" w:color="auto" w:fill="000080"/>
      <w:lang w:eastAsia="en-US"/>
    </w:rPr>
  </w:style>
  <w:style w:type="character" w:customStyle="1" w:styleId="EndnoteTextChar">
    <w:name w:val="Endnote Text Char"/>
    <w:basedOn w:val="DefaultParagraphFont"/>
    <w:link w:val="EndnoteText"/>
    <w:semiHidden/>
    <w:locked/>
    <w:rsid w:val="001B2473"/>
    <w:rPr>
      <w:rFonts w:ascii="Arial" w:hAnsi="Arial"/>
      <w:lang w:eastAsia="en-US"/>
    </w:rPr>
  </w:style>
  <w:style w:type="character" w:customStyle="1" w:styleId="FootnoteTextChar">
    <w:name w:val="Footnote Text Char"/>
    <w:basedOn w:val="DefaultParagraphFont"/>
    <w:link w:val="FootnoteText"/>
    <w:uiPriority w:val="99"/>
    <w:locked/>
    <w:rsid w:val="001B2473"/>
    <w:rPr>
      <w:rFonts w:ascii="Arial" w:hAnsi="Arial"/>
      <w:lang w:eastAsia="en-US"/>
    </w:rPr>
  </w:style>
  <w:style w:type="character" w:customStyle="1" w:styleId="MacroTextChar">
    <w:name w:val="Macro Text Char"/>
    <w:basedOn w:val="DefaultParagraphFont"/>
    <w:link w:val="MacroText"/>
    <w:semiHidden/>
    <w:locked/>
    <w:rsid w:val="001B2473"/>
    <w:rPr>
      <w:rFonts w:ascii="Courier New" w:hAnsi="Courier New"/>
      <w:lang w:val="en-US" w:eastAsia="en-US" w:bidi="ar-SA"/>
    </w:rPr>
  </w:style>
  <w:style w:type="character" w:customStyle="1" w:styleId="MessageHeaderChar">
    <w:name w:val="Message Header Char"/>
    <w:basedOn w:val="DefaultParagraphFont"/>
    <w:link w:val="MessageHeader"/>
    <w:locked/>
    <w:rsid w:val="001B2473"/>
    <w:rPr>
      <w:rFonts w:ascii="Arial" w:hAnsi="Arial"/>
      <w:sz w:val="24"/>
      <w:shd w:val="pct20" w:color="auto" w:fill="auto"/>
      <w:lang w:eastAsia="en-US"/>
    </w:rPr>
  </w:style>
  <w:style w:type="character" w:customStyle="1" w:styleId="NoteHeadingChar">
    <w:name w:val="Note Heading Char"/>
    <w:basedOn w:val="DefaultParagraphFont"/>
    <w:link w:val="NoteHeading"/>
    <w:locked/>
    <w:rsid w:val="001B2473"/>
    <w:rPr>
      <w:rFonts w:ascii="Arial" w:hAnsi="Arial"/>
      <w:sz w:val="22"/>
      <w:lang w:eastAsia="en-US"/>
    </w:rPr>
  </w:style>
  <w:style w:type="character" w:customStyle="1" w:styleId="PlainTextChar">
    <w:name w:val="Plain Text Char"/>
    <w:basedOn w:val="DefaultParagraphFont"/>
    <w:link w:val="PlainText"/>
    <w:locked/>
    <w:rsid w:val="001B2473"/>
    <w:rPr>
      <w:rFonts w:ascii="Courier New" w:hAnsi="Courier New"/>
      <w:lang w:eastAsia="en-US"/>
    </w:rPr>
  </w:style>
  <w:style w:type="character" w:customStyle="1" w:styleId="SalutationChar">
    <w:name w:val="Salutation Char"/>
    <w:basedOn w:val="DefaultParagraphFont"/>
    <w:link w:val="Salutation"/>
    <w:locked/>
    <w:rsid w:val="001B2473"/>
    <w:rPr>
      <w:rFonts w:ascii="Arial" w:hAnsi="Arial"/>
      <w:sz w:val="22"/>
      <w:lang w:eastAsia="en-US"/>
    </w:rPr>
  </w:style>
  <w:style w:type="character" w:customStyle="1" w:styleId="SignatureChar">
    <w:name w:val="Signature Char"/>
    <w:basedOn w:val="DefaultParagraphFont"/>
    <w:link w:val="Signature"/>
    <w:locked/>
    <w:rsid w:val="001B2473"/>
    <w:rPr>
      <w:rFonts w:ascii="Arial" w:hAnsi="Arial"/>
      <w:sz w:val="22"/>
      <w:lang w:eastAsia="en-US"/>
    </w:rPr>
  </w:style>
  <w:style w:type="character" w:customStyle="1" w:styleId="BalloonTextChar">
    <w:name w:val="Balloon Text Char"/>
    <w:basedOn w:val="DefaultParagraphFont"/>
    <w:link w:val="BalloonText"/>
    <w:uiPriority w:val="99"/>
    <w:locked/>
    <w:rsid w:val="001B2473"/>
    <w:rPr>
      <w:rFonts w:ascii="Tahoma" w:hAnsi="Tahoma" w:cs="Tahoma"/>
      <w:sz w:val="16"/>
      <w:szCs w:val="16"/>
      <w:lang w:eastAsia="en-US"/>
    </w:rPr>
  </w:style>
  <w:style w:type="paragraph" w:styleId="ListParagraph">
    <w:name w:val="List Paragraph"/>
    <w:basedOn w:val="Normal"/>
    <w:uiPriority w:val="34"/>
    <w:qFormat/>
    <w:rsid w:val="001B2473"/>
    <w:pPr>
      <w:widowControl w:val="0"/>
      <w:ind w:left="720"/>
      <w:contextualSpacing/>
    </w:pPr>
    <w:rPr>
      <w:rFonts w:ascii="Calibri" w:hAnsi="Calibri"/>
      <w:lang w:val="en-US"/>
    </w:rPr>
  </w:style>
  <w:style w:type="character" w:customStyle="1" w:styleId="E-mailSignatureChar">
    <w:name w:val="E-mail Signature Char"/>
    <w:basedOn w:val="DefaultParagraphFont"/>
    <w:link w:val="E-mailSignature"/>
    <w:locked/>
    <w:rsid w:val="001B2473"/>
    <w:rPr>
      <w:rFonts w:ascii="Arial" w:hAnsi="Arial"/>
      <w:sz w:val="22"/>
      <w:lang w:eastAsia="en-US"/>
    </w:rPr>
  </w:style>
  <w:style w:type="paragraph" w:customStyle="1" w:styleId="StyleHeading2Before14ptAfter3ptLinespacingExac">
    <w:name w:val="Style Heading 2 + Before:  14 pt After:  3 pt Line spacing:  Exac..."/>
    <w:basedOn w:val="Heading2"/>
    <w:uiPriority w:val="99"/>
    <w:rsid w:val="001B2473"/>
    <w:pPr>
      <w:numPr>
        <w:ilvl w:val="0"/>
        <w:numId w:val="0"/>
      </w:numPr>
      <w:tabs>
        <w:tab w:val="num" w:pos="576"/>
      </w:tabs>
      <w:ind w:left="576" w:hanging="576"/>
    </w:pPr>
    <w:rPr>
      <w:bCs/>
    </w:rPr>
  </w:style>
  <w:style w:type="paragraph" w:customStyle="1" w:styleId="StyleHeading3Before14ptAfter3ptLinespacingExac">
    <w:name w:val="Style Heading 3 + Before:  14 pt After:  3 pt Line spacing:  Exac..."/>
    <w:basedOn w:val="Heading3"/>
    <w:uiPriority w:val="99"/>
    <w:rsid w:val="001B2473"/>
    <w:pPr>
      <w:numPr>
        <w:ilvl w:val="0"/>
        <w:numId w:val="0"/>
      </w:numPr>
      <w:tabs>
        <w:tab w:val="num" w:pos="720"/>
      </w:tabs>
      <w:ind w:left="720" w:hanging="720"/>
    </w:pPr>
    <w:rPr>
      <w:bCs/>
    </w:rPr>
  </w:style>
  <w:style w:type="paragraph" w:customStyle="1" w:styleId="ZHeader1">
    <w:name w:val="ZHeader1"/>
    <w:basedOn w:val="Header"/>
    <w:uiPriority w:val="99"/>
    <w:rsid w:val="001B2473"/>
    <w:pPr>
      <w:tabs>
        <w:tab w:val="clear" w:pos="9360"/>
        <w:tab w:val="center" w:pos="4536"/>
        <w:tab w:val="right" w:pos="8931"/>
      </w:tabs>
      <w:spacing w:before="480" w:after="240" w:line="288" w:lineRule="auto"/>
      <w:jc w:val="left"/>
    </w:pPr>
    <w:rPr>
      <w:b/>
      <w:caps/>
      <w:spacing w:val="20"/>
      <w:sz w:val="22"/>
    </w:rPr>
  </w:style>
  <w:style w:type="paragraph" w:customStyle="1" w:styleId="Bullet1">
    <w:name w:val="Bullet1"/>
    <w:aliases w:val="B1"/>
    <w:basedOn w:val="Normal"/>
    <w:next w:val="Normal"/>
    <w:link w:val="Bullet1Char"/>
    <w:uiPriority w:val="99"/>
    <w:rsid w:val="001B2473"/>
    <w:pPr>
      <w:numPr>
        <w:numId w:val="14"/>
      </w:numPr>
      <w:spacing w:before="140" w:line="280" w:lineRule="atLeast"/>
      <w:jc w:val="left"/>
    </w:pPr>
    <w:rPr>
      <w:sz w:val="20"/>
    </w:rPr>
  </w:style>
  <w:style w:type="paragraph" w:customStyle="1" w:styleId="Bullet2">
    <w:name w:val="Bullet2"/>
    <w:aliases w:val="B2"/>
    <w:basedOn w:val="Bullet1"/>
    <w:next w:val="Normal"/>
    <w:link w:val="Bullet2Char"/>
    <w:uiPriority w:val="99"/>
    <w:rsid w:val="001B2473"/>
    <w:pPr>
      <w:numPr>
        <w:ilvl w:val="1"/>
      </w:numPr>
      <w:tabs>
        <w:tab w:val="num" w:pos="720"/>
      </w:tabs>
    </w:pPr>
  </w:style>
  <w:style w:type="paragraph" w:customStyle="1" w:styleId="Landfoot">
    <w:name w:val="Landfoot"/>
    <w:aliases w:val="LF"/>
    <w:basedOn w:val="Normal"/>
    <w:uiPriority w:val="99"/>
    <w:rsid w:val="001B2473"/>
    <w:pPr>
      <w:tabs>
        <w:tab w:val="center" w:pos="6946"/>
        <w:tab w:val="right" w:pos="13892"/>
      </w:tabs>
      <w:spacing w:before="240"/>
      <w:jc w:val="left"/>
    </w:pPr>
    <w:rPr>
      <w:noProof/>
      <w:sz w:val="14"/>
    </w:rPr>
  </w:style>
  <w:style w:type="paragraph" w:customStyle="1" w:styleId="ZTitle1">
    <w:name w:val="ZTitle1"/>
    <w:basedOn w:val="Heading7"/>
    <w:uiPriority w:val="99"/>
    <w:rsid w:val="001B2473"/>
    <w:pPr>
      <w:keepNext/>
      <w:numPr>
        <w:ilvl w:val="0"/>
        <w:numId w:val="0"/>
      </w:numPr>
      <w:spacing w:before="140" w:after="0" w:line="280" w:lineRule="atLeast"/>
      <w:jc w:val="left"/>
    </w:pPr>
    <w:rPr>
      <w:b/>
      <w:sz w:val="48"/>
    </w:rPr>
  </w:style>
  <w:style w:type="paragraph" w:customStyle="1" w:styleId="ZTitle2">
    <w:name w:val="ZTitle2"/>
    <w:basedOn w:val="Heading8"/>
    <w:uiPriority w:val="99"/>
    <w:rsid w:val="001B2473"/>
    <w:pPr>
      <w:keepNext/>
      <w:numPr>
        <w:ilvl w:val="0"/>
        <w:numId w:val="0"/>
      </w:numPr>
      <w:spacing w:before="140" w:after="0" w:line="280" w:lineRule="atLeast"/>
      <w:jc w:val="left"/>
    </w:pPr>
    <w:rPr>
      <w:b/>
      <w:i w:val="0"/>
      <w:sz w:val="36"/>
    </w:rPr>
  </w:style>
  <w:style w:type="paragraph" w:customStyle="1" w:styleId="ZCentre">
    <w:name w:val="ZCentre"/>
    <w:basedOn w:val="Normal"/>
    <w:uiPriority w:val="99"/>
    <w:rsid w:val="001B2473"/>
    <w:pPr>
      <w:spacing w:before="140" w:line="280" w:lineRule="atLeast"/>
      <w:jc w:val="center"/>
    </w:pPr>
    <w:rPr>
      <w:noProof/>
      <w:sz w:val="20"/>
    </w:rPr>
  </w:style>
  <w:style w:type="paragraph" w:customStyle="1" w:styleId="ZCentre1">
    <w:name w:val="ZCentre1"/>
    <w:basedOn w:val="ZCentre"/>
    <w:uiPriority w:val="99"/>
    <w:rsid w:val="001B2473"/>
  </w:style>
  <w:style w:type="paragraph" w:customStyle="1" w:styleId="ZProjNo1">
    <w:name w:val="ZProjNo1"/>
    <w:basedOn w:val="ZCentre1"/>
    <w:uiPriority w:val="99"/>
    <w:rsid w:val="001B2473"/>
    <w:pPr>
      <w:jc w:val="left"/>
    </w:pPr>
  </w:style>
  <w:style w:type="paragraph" w:customStyle="1" w:styleId="ZAddress1">
    <w:name w:val="ZAddress1"/>
    <w:basedOn w:val="ZProjNo1"/>
    <w:next w:val="ZAddress"/>
    <w:uiPriority w:val="99"/>
    <w:rsid w:val="001B2473"/>
    <w:pPr>
      <w:spacing w:line="240" w:lineRule="auto"/>
    </w:pPr>
    <w:rPr>
      <w:sz w:val="18"/>
    </w:rPr>
  </w:style>
  <w:style w:type="paragraph" w:customStyle="1" w:styleId="ZConfHead">
    <w:name w:val="ZConfHead"/>
    <w:basedOn w:val="Normal"/>
    <w:uiPriority w:val="99"/>
    <w:rsid w:val="001B2473"/>
    <w:pPr>
      <w:spacing w:before="100" w:after="120" w:line="288" w:lineRule="auto"/>
      <w:jc w:val="left"/>
    </w:pPr>
    <w:rPr>
      <w:b/>
    </w:rPr>
  </w:style>
  <w:style w:type="paragraph" w:customStyle="1" w:styleId="ZAddress">
    <w:name w:val="ZAddress"/>
    <w:basedOn w:val="ZAddress1"/>
    <w:uiPriority w:val="99"/>
    <w:rsid w:val="001B2473"/>
    <w:pPr>
      <w:spacing w:before="0"/>
    </w:pPr>
  </w:style>
  <w:style w:type="paragraph" w:customStyle="1" w:styleId="ZFooter5">
    <w:name w:val="ZFooter5"/>
    <w:basedOn w:val="ZFooter3"/>
    <w:uiPriority w:val="99"/>
    <w:rsid w:val="001B2473"/>
    <w:pPr>
      <w:jc w:val="left"/>
    </w:pPr>
  </w:style>
  <w:style w:type="paragraph" w:customStyle="1" w:styleId="ZCopyright1">
    <w:name w:val="ZCopyright1"/>
    <w:basedOn w:val="ZAddress"/>
    <w:next w:val="ZCopyright2"/>
    <w:uiPriority w:val="99"/>
    <w:rsid w:val="001B2473"/>
    <w:pPr>
      <w:spacing w:before="100"/>
    </w:pPr>
    <w:rPr>
      <w:sz w:val="16"/>
    </w:rPr>
  </w:style>
  <w:style w:type="paragraph" w:customStyle="1" w:styleId="ZCopyright2">
    <w:name w:val="ZCopyright2"/>
    <w:basedOn w:val="ZCopyright1"/>
    <w:uiPriority w:val="99"/>
    <w:rsid w:val="001B2473"/>
    <w:pPr>
      <w:spacing w:before="0"/>
    </w:pPr>
  </w:style>
  <w:style w:type="paragraph" w:customStyle="1" w:styleId="ZSynopHeading">
    <w:name w:val="ZSynopHeading"/>
    <w:basedOn w:val="Normal"/>
    <w:next w:val="ZSynopsisText"/>
    <w:uiPriority w:val="99"/>
    <w:rsid w:val="001B2473"/>
    <w:pPr>
      <w:keepNext/>
      <w:spacing w:before="140" w:line="280" w:lineRule="atLeast"/>
      <w:jc w:val="left"/>
    </w:pPr>
    <w:rPr>
      <w:b/>
      <w:caps/>
      <w:sz w:val="28"/>
    </w:rPr>
  </w:style>
  <w:style w:type="paragraph" w:customStyle="1" w:styleId="ZHeader2">
    <w:name w:val="ZHeader2"/>
    <w:basedOn w:val="Header"/>
    <w:uiPriority w:val="99"/>
    <w:rsid w:val="001B2473"/>
    <w:pPr>
      <w:tabs>
        <w:tab w:val="clear" w:pos="9360"/>
        <w:tab w:val="center" w:pos="4536"/>
        <w:tab w:val="right" w:pos="8931"/>
      </w:tabs>
      <w:spacing w:before="600" w:line="280" w:lineRule="atLeast"/>
      <w:jc w:val="right"/>
    </w:pPr>
    <w:rPr>
      <w:b/>
      <w:caps/>
    </w:rPr>
  </w:style>
  <w:style w:type="paragraph" w:customStyle="1" w:styleId="ZHeader3">
    <w:name w:val="ZHeader3"/>
    <w:basedOn w:val="ZHeader2"/>
    <w:uiPriority w:val="99"/>
    <w:rsid w:val="001B2473"/>
    <w:pPr>
      <w:pBdr>
        <w:bottom w:val="single" w:sz="4" w:space="6" w:color="auto"/>
      </w:pBdr>
      <w:spacing w:before="0" w:after="240"/>
    </w:pPr>
  </w:style>
  <w:style w:type="paragraph" w:customStyle="1" w:styleId="ZSynopsisText">
    <w:name w:val="ZSynopsisText"/>
    <w:basedOn w:val="Normal"/>
    <w:link w:val="ZSynopsisTextChar"/>
    <w:uiPriority w:val="99"/>
    <w:rsid w:val="001B2473"/>
    <w:pPr>
      <w:spacing w:before="140" w:line="280" w:lineRule="atLeast"/>
      <w:jc w:val="left"/>
    </w:pPr>
    <w:rPr>
      <w:sz w:val="20"/>
    </w:rPr>
  </w:style>
  <w:style w:type="paragraph" w:customStyle="1" w:styleId="ZDisclaimer">
    <w:name w:val="ZDisclaimer"/>
    <w:basedOn w:val="ZSynopsisText"/>
    <w:uiPriority w:val="99"/>
    <w:rsid w:val="001B2473"/>
    <w:rPr>
      <w:i/>
      <w:iCs/>
    </w:rPr>
  </w:style>
  <w:style w:type="paragraph" w:customStyle="1" w:styleId="ZFooter2">
    <w:name w:val="ZFooter2"/>
    <w:basedOn w:val="Footer"/>
    <w:uiPriority w:val="99"/>
    <w:rsid w:val="001B2473"/>
    <w:pPr>
      <w:pBdr>
        <w:top w:val="single" w:sz="4" w:space="3" w:color="auto"/>
      </w:pBdr>
      <w:tabs>
        <w:tab w:val="clear" w:pos="9360"/>
        <w:tab w:val="center" w:pos="4536"/>
        <w:tab w:val="right" w:pos="9072"/>
      </w:tabs>
      <w:spacing w:before="360"/>
      <w:jc w:val="left"/>
    </w:pPr>
    <w:rPr>
      <w:noProof/>
      <w:sz w:val="14"/>
      <w:szCs w:val="16"/>
    </w:rPr>
  </w:style>
  <w:style w:type="paragraph" w:customStyle="1" w:styleId="ZFooter3">
    <w:name w:val="ZFooter3"/>
    <w:basedOn w:val="Footer"/>
    <w:uiPriority w:val="99"/>
    <w:rsid w:val="001B2473"/>
    <w:pPr>
      <w:tabs>
        <w:tab w:val="clear" w:pos="9360"/>
        <w:tab w:val="center" w:pos="4536"/>
        <w:tab w:val="right" w:pos="9072"/>
      </w:tabs>
      <w:jc w:val="center"/>
    </w:pPr>
    <w:rPr>
      <w:noProof/>
      <w:sz w:val="14"/>
    </w:rPr>
  </w:style>
  <w:style w:type="paragraph" w:customStyle="1" w:styleId="ZRevBoxTitle1">
    <w:name w:val="ZRevBoxTitle1"/>
    <w:basedOn w:val="ZHeader2"/>
    <w:uiPriority w:val="99"/>
    <w:rsid w:val="001B2473"/>
    <w:pPr>
      <w:tabs>
        <w:tab w:val="clear" w:pos="4536"/>
        <w:tab w:val="clear" w:pos="8931"/>
      </w:tabs>
      <w:spacing w:before="40" w:after="40" w:line="240" w:lineRule="auto"/>
    </w:pPr>
    <w:rPr>
      <w:noProof/>
    </w:rPr>
  </w:style>
  <w:style w:type="paragraph" w:customStyle="1" w:styleId="ZRevBoxTitle2">
    <w:name w:val="ZRevBoxTitle2"/>
    <w:basedOn w:val="ZRevBoxTitle1"/>
    <w:uiPriority w:val="99"/>
    <w:rsid w:val="001B2473"/>
    <w:rPr>
      <w:sz w:val="14"/>
    </w:rPr>
  </w:style>
  <w:style w:type="paragraph" w:customStyle="1" w:styleId="ZFooter4">
    <w:name w:val="ZFooter4"/>
    <w:basedOn w:val="ZFooter2"/>
    <w:next w:val="ZFooter5"/>
    <w:uiPriority w:val="99"/>
    <w:rsid w:val="001B2473"/>
    <w:pPr>
      <w:tabs>
        <w:tab w:val="clear" w:pos="4536"/>
        <w:tab w:val="center" w:pos="4366"/>
      </w:tabs>
      <w:spacing w:before="240"/>
    </w:pPr>
  </w:style>
  <w:style w:type="paragraph" w:customStyle="1" w:styleId="Num2">
    <w:name w:val="Num2"/>
    <w:aliases w:val="N2"/>
    <w:basedOn w:val="Num1"/>
    <w:next w:val="Normal"/>
    <w:uiPriority w:val="99"/>
    <w:rsid w:val="001B2473"/>
    <w:pPr>
      <w:numPr>
        <w:ilvl w:val="1"/>
      </w:numPr>
      <w:tabs>
        <w:tab w:val="num" w:pos="720"/>
        <w:tab w:val="num" w:pos="1080"/>
        <w:tab w:val="left" w:pos="1134"/>
      </w:tabs>
    </w:pPr>
  </w:style>
  <w:style w:type="paragraph" w:customStyle="1" w:styleId="ZContentHeading">
    <w:name w:val="ZContentHeading"/>
    <w:basedOn w:val="ZSynopHeading"/>
    <w:next w:val="Normal"/>
    <w:uiPriority w:val="99"/>
    <w:rsid w:val="001B2473"/>
    <w:rPr>
      <w:rFonts w:ascii="Arial Bold" w:hAnsi="Arial Bold"/>
      <w:szCs w:val="28"/>
    </w:rPr>
  </w:style>
  <w:style w:type="paragraph" w:customStyle="1" w:styleId="ZLandFooter2">
    <w:name w:val="ZLandFooter2"/>
    <w:basedOn w:val="ZFooter5"/>
    <w:uiPriority w:val="99"/>
    <w:rsid w:val="001B2473"/>
    <w:pPr>
      <w:tabs>
        <w:tab w:val="clear" w:pos="4536"/>
        <w:tab w:val="clear" w:pos="9072"/>
        <w:tab w:val="center" w:pos="6946"/>
        <w:tab w:val="right" w:pos="13892"/>
      </w:tabs>
    </w:pPr>
  </w:style>
  <w:style w:type="paragraph" w:customStyle="1" w:styleId="ZLandFooter">
    <w:name w:val="ZLandFooter"/>
    <w:basedOn w:val="ZFooter4"/>
    <w:next w:val="ZLandFooter2"/>
    <w:uiPriority w:val="99"/>
    <w:rsid w:val="001B2473"/>
    <w:pPr>
      <w:tabs>
        <w:tab w:val="clear" w:pos="9072"/>
        <w:tab w:val="center" w:pos="6946"/>
        <w:tab w:val="right" w:pos="13892"/>
      </w:tabs>
    </w:pPr>
  </w:style>
  <w:style w:type="paragraph" w:customStyle="1" w:styleId="ZSignature">
    <w:name w:val="ZSignature"/>
    <w:basedOn w:val="Normal"/>
    <w:uiPriority w:val="99"/>
    <w:rsid w:val="001B2473"/>
    <w:pPr>
      <w:spacing w:before="180"/>
      <w:jc w:val="center"/>
    </w:pPr>
    <w:rPr>
      <w:noProof/>
      <w:sz w:val="16"/>
    </w:rPr>
  </w:style>
  <w:style w:type="paragraph" w:customStyle="1" w:styleId="ZSignline">
    <w:name w:val="ZSignline"/>
    <w:basedOn w:val="Normal"/>
    <w:uiPriority w:val="99"/>
    <w:rsid w:val="001B2473"/>
    <w:pPr>
      <w:pBdr>
        <w:top w:val="single" w:sz="4" w:space="1" w:color="auto"/>
      </w:pBdr>
      <w:jc w:val="left"/>
    </w:pPr>
    <w:rPr>
      <w:noProof/>
      <w:sz w:val="16"/>
    </w:rPr>
  </w:style>
  <w:style w:type="paragraph" w:customStyle="1" w:styleId="ZRevBox">
    <w:name w:val="ZRevBox"/>
    <w:basedOn w:val="Normal"/>
    <w:uiPriority w:val="99"/>
    <w:rsid w:val="001B2473"/>
    <w:pPr>
      <w:spacing w:before="180"/>
      <w:jc w:val="left"/>
    </w:pPr>
    <w:rPr>
      <w:noProof/>
      <w:sz w:val="16"/>
    </w:rPr>
  </w:style>
  <w:style w:type="paragraph" w:customStyle="1" w:styleId="TableHead">
    <w:name w:val="TableHead"/>
    <w:aliases w:val="TH"/>
    <w:basedOn w:val="Normal"/>
    <w:uiPriority w:val="99"/>
    <w:rsid w:val="001B2473"/>
    <w:pPr>
      <w:keepNext/>
      <w:spacing w:before="140" w:after="140" w:line="280" w:lineRule="atLeast"/>
      <w:jc w:val="left"/>
    </w:pPr>
    <w:rPr>
      <w:b/>
      <w:sz w:val="20"/>
    </w:rPr>
  </w:style>
  <w:style w:type="paragraph" w:customStyle="1" w:styleId="ZRevDate">
    <w:name w:val="ZRevDate"/>
    <w:basedOn w:val="ZRevBox"/>
    <w:uiPriority w:val="99"/>
    <w:rsid w:val="001B2473"/>
    <w:rPr>
      <w:spacing w:val="-10"/>
    </w:rPr>
  </w:style>
  <w:style w:type="paragraph" w:customStyle="1" w:styleId="AppendixTitle">
    <w:name w:val="AppendixTitle"/>
    <w:aliases w:val="AT"/>
    <w:basedOn w:val="Normal"/>
    <w:next w:val="Normal"/>
    <w:uiPriority w:val="99"/>
    <w:rsid w:val="001B2473"/>
    <w:pPr>
      <w:keepNext/>
      <w:tabs>
        <w:tab w:val="left" w:pos="2160"/>
      </w:tabs>
      <w:spacing w:before="140" w:line="280" w:lineRule="atLeast"/>
      <w:ind w:left="2160" w:hanging="2160"/>
      <w:jc w:val="left"/>
    </w:pPr>
    <w:rPr>
      <w:b/>
      <w:sz w:val="32"/>
    </w:rPr>
  </w:style>
  <w:style w:type="paragraph" w:customStyle="1" w:styleId="Num1">
    <w:name w:val="Num1"/>
    <w:aliases w:val="N1"/>
    <w:basedOn w:val="Normal"/>
    <w:next w:val="Normal"/>
    <w:uiPriority w:val="99"/>
    <w:rsid w:val="001B2473"/>
    <w:pPr>
      <w:numPr>
        <w:numId w:val="15"/>
      </w:numPr>
      <w:spacing w:before="140" w:line="280" w:lineRule="atLeast"/>
      <w:jc w:val="left"/>
    </w:pPr>
    <w:rPr>
      <w:sz w:val="20"/>
    </w:rPr>
  </w:style>
  <w:style w:type="paragraph" w:customStyle="1" w:styleId="Num3">
    <w:name w:val="Num3"/>
    <w:aliases w:val="N3"/>
    <w:basedOn w:val="Num2"/>
    <w:next w:val="Normal"/>
    <w:uiPriority w:val="99"/>
    <w:rsid w:val="001B2473"/>
    <w:pPr>
      <w:numPr>
        <w:ilvl w:val="2"/>
      </w:numPr>
      <w:tabs>
        <w:tab w:val="left" w:pos="1701"/>
      </w:tabs>
    </w:pPr>
  </w:style>
  <w:style w:type="paragraph" w:customStyle="1" w:styleId="AppenTOCHead">
    <w:name w:val="AppenTOCHead"/>
    <w:basedOn w:val="AppendixTitle"/>
    <w:uiPriority w:val="99"/>
    <w:rsid w:val="001B2473"/>
    <w:rPr>
      <w:sz w:val="24"/>
    </w:rPr>
  </w:style>
  <w:style w:type="paragraph" w:customStyle="1" w:styleId="Frontpagetitle12">
    <w:name w:val="Front page title 12"/>
    <w:basedOn w:val="Normal"/>
    <w:uiPriority w:val="99"/>
    <w:rsid w:val="001B2473"/>
    <w:pPr>
      <w:tabs>
        <w:tab w:val="left" w:pos="567"/>
        <w:tab w:val="left" w:pos="1134"/>
        <w:tab w:val="center" w:pos="4536"/>
        <w:tab w:val="right" w:pos="9072"/>
      </w:tabs>
      <w:spacing w:after="120" w:line="300" w:lineRule="atLeast"/>
      <w:jc w:val="left"/>
    </w:pPr>
    <w:rPr>
      <w:b/>
      <w:caps/>
      <w:sz w:val="24"/>
    </w:rPr>
  </w:style>
  <w:style w:type="paragraph" w:customStyle="1" w:styleId="Frontpagetitle14">
    <w:name w:val="Front page title 14"/>
    <w:basedOn w:val="Normal"/>
    <w:uiPriority w:val="99"/>
    <w:rsid w:val="001B2473"/>
    <w:pPr>
      <w:tabs>
        <w:tab w:val="left" w:pos="567"/>
        <w:tab w:val="left" w:pos="1134"/>
        <w:tab w:val="center" w:pos="4536"/>
        <w:tab w:val="right" w:pos="9072"/>
      </w:tabs>
      <w:spacing w:after="120" w:line="300" w:lineRule="atLeast"/>
      <w:jc w:val="left"/>
    </w:pPr>
    <w:rPr>
      <w:b/>
      <w:caps/>
      <w:sz w:val="28"/>
    </w:rPr>
  </w:style>
  <w:style w:type="paragraph" w:customStyle="1" w:styleId="ZACN">
    <w:name w:val="ZACN"/>
    <w:basedOn w:val="ZAddress"/>
    <w:uiPriority w:val="99"/>
    <w:rsid w:val="001B2473"/>
    <w:pPr>
      <w:spacing w:before="120"/>
    </w:pPr>
  </w:style>
  <w:style w:type="paragraph" w:customStyle="1" w:styleId="ZAppendixList">
    <w:name w:val="ZAppendixList"/>
    <w:basedOn w:val="AppendixTitle"/>
    <w:uiPriority w:val="99"/>
    <w:rsid w:val="001B2473"/>
    <w:pPr>
      <w:outlineLvl w:val="0"/>
    </w:pPr>
    <w:rPr>
      <w:sz w:val="24"/>
    </w:rPr>
  </w:style>
  <w:style w:type="paragraph" w:customStyle="1" w:styleId="ZHeaderL">
    <w:name w:val="ZHeaderL"/>
    <w:basedOn w:val="Normal"/>
    <w:next w:val="ZHeader1"/>
    <w:uiPriority w:val="99"/>
    <w:rsid w:val="001B2473"/>
    <w:pPr>
      <w:spacing w:line="280" w:lineRule="atLeast"/>
      <w:ind w:left="-1219"/>
      <w:jc w:val="left"/>
    </w:pPr>
    <w:rPr>
      <w:sz w:val="20"/>
    </w:rPr>
  </w:style>
  <w:style w:type="paragraph" w:customStyle="1" w:styleId="DiscHead">
    <w:name w:val="DiscHead"/>
    <w:basedOn w:val="Normal"/>
    <w:uiPriority w:val="99"/>
    <w:rsid w:val="001B2473"/>
    <w:pPr>
      <w:spacing w:after="140" w:line="280" w:lineRule="atLeast"/>
      <w:jc w:val="left"/>
    </w:pPr>
    <w:rPr>
      <w:b/>
    </w:rPr>
  </w:style>
  <w:style w:type="paragraph" w:customStyle="1" w:styleId="ZComponent">
    <w:name w:val="ZComponent"/>
    <w:basedOn w:val="Normal"/>
    <w:uiPriority w:val="99"/>
    <w:rsid w:val="001B2473"/>
    <w:pPr>
      <w:spacing w:before="140" w:line="200" w:lineRule="exact"/>
      <w:jc w:val="left"/>
    </w:pPr>
    <w:rPr>
      <w:rFonts w:ascii="Arial Bold" w:hAnsi="Arial Bold"/>
      <w:b/>
      <w:sz w:val="18"/>
      <w:szCs w:val="18"/>
    </w:rPr>
  </w:style>
  <w:style w:type="paragraph" w:customStyle="1" w:styleId="ZSubcomponent">
    <w:name w:val="ZSubcomponent"/>
    <w:basedOn w:val="ZComponent"/>
    <w:uiPriority w:val="99"/>
    <w:rsid w:val="001B2473"/>
    <w:pPr>
      <w:spacing w:before="0"/>
    </w:pPr>
    <w:rPr>
      <w:rFonts w:ascii="Arial" w:hAnsi="Arial"/>
    </w:rPr>
  </w:style>
  <w:style w:type="paragraph" w:customStyle="1" w:styleId="H1">
    <w:name w:val="H1"/>
    <w:basedOn w:val="Heading1"/>
    <w:next w:val="Normal"/>
    <w:uiPriority w:val="99"/>
    <w:rsid w:val="001B2473"/>
    <w:pPr>
      <w:pageBreakBefore/>
      <w:numPr>
        <w:numId w:val="0"/>
      </w:numPr>
      <w:spacing w:before="140" w:after="60" w:line="280" w:lineRule="exact"/>
    </w:pPr>
    <w:rPr>
      <w:spacing w:val="20"/>
      <w:kern w:val="28"/>
      <w:sz w:val="24"/>
    </w:rPr>
  </w:style>
  <w:style w:type="paragraph" w:customStyle="1" w:styleId="StyleTableHeadTH9ptAllcapsLeft">
    <w:name w:val="Style TableHeadTH + 9 pt All caps Left"/>
    <w:basedOn w:val="TableHead"/>
    <w:uiPriority w:val="99"/>
    <w:rsid w:val="001B2473"/>
    <w:rPr>
      <w:bCs/>
      <w:caps/>
      <w:sz w:val="18"/>
    </w:rPr>
  </w:style>
  <w:style w:type="paragraph" w:customStyle="1" w:styleId="ZRE">
    <w:name w:val="ZR&amp;E"/>
    <w:basedOn w:val="Normal"/>
    <w:uiPriority w:val="99"/>
    <w:rsid w:val="001B2473"/>
    <w:pPr>
      <w:jc w:val="center"/>
      <w:outlineLvl w:val="0"/>
    </w:pPr>
    <w:rPr>
      <w:b/>
      <w:spacing w:val="-10"/>
      <w:sz w:val="20"/>
    </w:rPr>
  </w:style>
  <w:style w:type="character" w:customStyle="1" w:styleId="Bullet1Char">
    <w:name w:val="Bullet1 Char"/>
    <w:aliases w:val="B1 Char"/>
    <w:link w:val="Bullet1"/>
    <w:uiPriority w:val="99"/>
    <w:locked/>
    <w:rsid w:val="001B2473"/>
    <w:rPr>
      <w:lang w:eastAsia="en-US"/>
    </w:rPr>
  </w:style>
  <w:style w:type="character" w:customStyle="1" w:styleId="Bullet2Char">
    <w:name w:val="Bullet2 Char"/>
    <w:aliases w:val="B2 Char"/>
    <w:basedOn w:val="Bullet1Char"/>
    <w:link w:val="Bullet2"/>
    <w:uiPriority w:val="99"/>
    <w:locked/>
    <w:rsid w:val="001B2473"/>
    <w:rPr>
      <w:lang w:eastAsia="en-US"/>
    </w:rPr>
  </w:style>
  <w:style w:type="paragraph" w:styleId="CommentSubject">
    <w:name w:val="annotation subject"/>
    <w:basedOn w:val="CommentText"/>
    <w:next w:val="CommentText"/>
    <w:link w:val="CommentSubjectChar"/>
    <w:uiPriority w:val="99"/>
    <w:rsid w:val="001B2473"/>
    <w:pPr>
      <w:spacing w:before="140" w:line="280" w:lineRule="atLeast"/>
      <w:jc w:val="left"/>
    </w:pPr>
    <w:rPr>
      <w:b/>
      <w:bCs/>
    </w:rPr>
  </w:style>
  <w:style w:type="character" w:customStyle="1" w:styleId="CommentTextChar1">
    <w:name w:val="Comment Text Char1"/>
    <w:basedOn w:val="DefaultParagraphFont"/>
    <w:link w:val="CommentText"/>
    <w:uiPriority w:val="99"/>
    <w:rsid w:val="001B2473"/>
    <w:rPr>
      <w:rFonts w:ascii="Arial" w:hAnsi="Arial"/>
      <w:lang w:eastAsia="en-US"/>
    </w:rPr>
  </w:style>
  <w:style w:type="character" w:customStyle="1" w:styleId="CommentSubjectChar">
    <w:name w:val="Comment Subject Char"/>
    <w:basedOn w:val="CommentTextChar1"/>
    <w:link w:val="CommentSubject"/>
    <w:uiPriority w:val="99"/>
    <w:rsid w:val="001B2473"/>
    <w:rPr>
      <w:rFonts w:ascii="Arial" w:hAnsi="Arial"/>
      <w:b/>
      <w:bCs/>
      <w:lang w:eastAsia="en-US"/>
    </w:rPr>
  </w:style>
  <w:style w:type="paragraph" w:customStyle="1" w:styleId="ListofFigures">
    <w:name w:val="List of Figures"/>
    <w:basedOn w:val="Normal"/>
    <w:uiPriority w:val="99"/>
    <w:rsid w:val="001B2473"/>
    <w:pPr>
      <w:keepNext/>
      <w:spacing w:before="140" w:line="280" w:lineRule="atLeast"/>
      <w:jc w:val="left"/>
    </w:pPr>
    <w:rPr>
      <w:b/>
      <w:sz w:val="24"/>
    </w:rPr>
  </w:style>
  <w:style w:type="paragraph" w:customStyle="1" w:styleId="ListofTables">
    <w:name w:val="List of Tables"/>
    <w:basedOn w:val="Normal"/>
    <w:uiPriority w:val="99"/>
    <w:rsid w:val="001B2473"/>
    <w:pPr>
      <w:keepNext/>
      <w:spacing w:before="140" w:line="280" w:lineRule="atLeast"/>
      <w:jc w:val="left"/>
    </w:pPr>
    <w:rPr>
      <w:b/>
      <w:sz w:val="24"/>
    </w:rPr>
  </w:style>
  <w:style w:type="paragraph" w:customStyle="1" w:styleId="Tablenormal0">
    <w:name w:val="Table normal"/>
    <w:basedOn w:val="Normal"/>
    <w:uiPriority w:val="99"/>
    <w:rsid w:val="001B2473"/>
    <w:pPr>
      <w:spacing w:before="80" w:after="60" w:line="280" w:lineRule="atLeast"/>
      <w:jc w:val="left"/>
    </w:pPr>
    <w:rPr>
      <w:sz w:val="20"/>
      <w:lang w:val="en-US"/>
    </w:rPr>
  </w:style>
  <w:style w:type="paragraph" w:customStyle="1" w:styleId="StyleZSynopsisTextAllcaps">
    <w:name w:val="Style ZSynopsisText + All caps"/>
    <w:basedOn w:val="ZSynopsisText"/>
    <w:link w:val="StyleZSynopsisTextAllcapsChar"/>
    <w:uiPriority w:val="99"/>
    <w:rsid w:val="001B2473"/>
    <w:rPr>
      <w:caps/>
      <w:lang w:val="en-US"/>
    </w:rPr>
  </w:style>
  <w:style w:type="character" w:customStyle="1" w:styleId="ZSynopsisTextChar">
    <w:name w:val="ZSynopsisText Char"/>
    <w:link w:val="ZSynopsisText"/>
    <w:uiPriority w:val="99"/>
    <w:locked/>
    <w:rsid w:val="001B2473"/>
    <w:rPr>
      <w:rFonts w:ascii="Arial" w:hAnsi="Arial"/>
      <w:lang w:eastAsia="en-US"/>
    </w:rPr>
  </w:style>
  <w:style w:type="character" w:customStyle="1" w:styleId="StyleZSynopsisTextAllcapsChar">
    <w:name w:val="Style ZSynopsisText + All caps Char"/>
    <w:link w:val="StyleZSynopsisTextAllcaps"/>
    <w:uiPriority w:val="99"/>
    <w:locked/>
    <w:rsid w:val="001B2473"/>
    <w:rPr>
      <w:rFonts w:ascii="Arial" w:hAnsi="Arial"/>
      <w:caps/>
      <w:lang w:val="en-US" w:eastAsia="en-US"/>
    </w:rPr>
  </w:style>
  <w:style w:type="paragraph" w:customStyle="1" w:styleId="TFPContent">
    <w:name w:val="TFP Content"/>
    <w:basedOn w:val="Normal"/>
    <w:uiPriority w:val="99"/>
    <w:rsid w:val="001B2473"/>
    <w:pPr>
      <w:tabs>
        <w:tab w:val="left" w:pos="1440"/>
      </w:tabs>
      <w:spacing w:before="140" w:line="280" w:lineRule="atLeast"/>
      <w:ind w:left="1440" w:right="720" w:hanging="1440"/>
      <w:jc w:val="left"/>
    </w:pPr>
    <w:rPr>
      <w:caps/>
      <w:sz w:val="20"/>
    </w:rPr>
  </w:style>
  <w:style w:type="paragraph" w:customStyle="1" w:styleId="ZSignatory">
    <w:name w:val="ZSignatory"/>
    <w:basedOn w:val="Normal"/>
    <w:uiPriority w:val="99"/>
    <w:rsid w:val="001B2473"/>
    <w:pPr>
      <w:overflowPunct w:val="0"/>
      <w:autoSpaceDE w:val="0"/>
      <w:autoSpaceDN w:val="0"/>
      <w:adjustRightInd w:val="0"/>
      <w:spacing w:before="140"/>
      <w:jc w:val="left"/>
      <w:textAlignment w:val="baseline"/>
    </w:pPr>
    <w:rPr>
      <w:sz w:val="20"/>
    </w:rPr>
  </w:style>
  <w:style w:type="paragraph" w:customStyle="1" w:styleId="ZPosition">
    <w:name w:val="ZPosition"/>
    <w:basedOn w:val="Normal"/>
    <w:uiPriority w:val="99"/>
    <w:rsid w:val="001B2473"/>
    <w:pPr>
      <w:overflowPunct w:val="0"/>
      <w:autoSpaceDE w:val="0"/>
      <w:autoSpaceDN w:val="0"/>
      <w:adjustRightInd w:val="0"/>
      <w:jc w:val="left"/>
      <w:textAlignment w:val="baseline"/>
    </w:pPr>
    <w:rPr>
      <w:sz w:val="20"/>
    </w:rPr>
  </w:style>
  <w:style w:type="paragraph" w:customStyle="1" w:styleId="ExtraApp">
    <w:name w:val="ExtraApp"/>
    <w:basedOn w:val="Normal"/>
    <w:next w:val="Normal"/>
    <w:uiPriority w:val="99"/>
    <w:rsid w:val="001B2473"/>
    <w:pPr>
      <w:spacing w:before="140" w:line="280" w:lineRule="atLeast"/>
      <w:jc w:val="left"/>
    </w:pPr>
    <w:rPr>
      <w:b/>
      <w:sz w:val="32"/>
    </w:rPr>
  </w:style>
  <w:style w:type="paragraph" w:customStyle="1" w:styleId="Covers">
    <w:name w:val="Covers"/>
    <w:basedOn w:val="Normal"/>
    <w:next w:val="Normal"/>
    <w:uiPriority w:val="99"/>
    <w:rsid w:val="001B2473"/>
    <w:pPr>
      <w:spacing w:before="140" w:line="280" w:lineRule="atLeast"/>
      <w:jc w:val="left"/>
    </w:pPr>
    <w:rPr>
      <w:b/>
      <w:sz w:val="32"/>
    </w:rPr>
  </w:style>
  <w:style w:type="paragraph" w:customStyle="1" w:styleId="Notes">
    <w:name w:val="Notes"/>
    <w:basedOn w:val="Normal"/>
    <w:next w:val="Normal"/>
    <w:uiPriority w:val="99"/>
    <w:rsid w:val="001B2473"/>
    <w:pPr>
      <w:keepLines/>
      <w:spacing w:before="60" w:line="240" w:lineRule="atLeast"/>
      <w:ind w:left="115"/>
      <w:jc w:val="left"/>
    </w:pPr>
    <w:rPr>
      <w:sz w:val="16"/>
      <w:szCs w:val="16"/>
    </w:rPr>
  </w:style>
  <w:style w:type="paragraph" w:customStyle="1" w:styleId="Bullet">
    <w:name w:val="Bullet"/>
    <w:basedOn w:val="Normal"/>
    <w:uiPriority w:val="99"/>
    <w:rsid w:val="001B2473"/>
    <w:pPr>
      <w:numPr>
        <w:numId w:val="16"/>
      </w:numPr>
      <w:tabs>
        <w:tab w:val="clear" w:pos="720"/>
      </w:tabs>
      <w:spacing w:before="140" w:line="280" w:lineRule="atLeast"/>
      <w:ind w:left="562" w:hanging="562"/>
    </w:pPr>
    <w:rPr>
      <w:rFonts w:eastAsia="SimSun"/>
      <w:sz w:val="20"/>
      <w:lang w:eastAsia="zh-CN"/>
    </w:rPr>
  </w:style>
  <w:style w:type="paragraph" w:customStyle="1" w:styleId="logo">
    <w:name w:val="logo"/>
    <w:basedOn w:val="Normal"/>
    <w:uiPriority w:val="99"/>
    <w:rsid w:val="001B2473"/>
    <w:pPr>
      <w:spacing w:after="480"/>
      <w:jc w:val="left"/>
    </w:pPr>
    <w:rPr>
      <w:rFonts w:ascii="Arial Black" w:hAnsi="Arial Black"/>
      <w:bCs/>
      <w:caps/>
      <w:spacing w:val="20"/>
      <w:sz w:val="18"/>
      <w:lang w:val="en-US"/>
    </w:rPr>
  </w:style>
  <w:style w:type="paragraph" w:customStyle="1" w:styleId="Table">
    <w:name w:val="Table"/>
    <w:basedOn w:val="Caption"/>
    <w:autoRedefine/>
    <w:qFormat/>
    <w:rsid w:val="000A560E"/>
    <w:pPr>
      <w:keepNext/>
      <w:tabs>
        <w:tab w:val="left" w:pos="1440"/>
      </w:tabs>
      <w:spacing w:after="40" w:line="160" w:lineRule="exact"/>
      <w:jc w:val="left"/>
    </w:pPr>
    <w:rPr>
      <w:rFonts w:ascii="Shruti" w:hAnsi="Shruti" w:cs="Shruti"/>
      <w:bCs/>
      <w:sz w:val="20"/>
      <w:lang w:eastAsia="en-CA"/>
    </w:rPr>
  </w:style>
  <w:style w:type="paragraph" w:customStyle="1" w:styleId="Reportbullet">
    <w:name w:val="Reportbullet"/>
    <w:basedOn w:val="Normal"/>
    <w:uiPriority w:val="99"/>
    <w:rsid w:val="001B2473"/>
    <w:pPr>
      <w:numPr>
        <w:numId w:val="17"/>
      </w:numPr>
      <w:spacing w:before="140" w:line="280" w:lineRule="atLeast"/>
      <w:jc w:val="left"/>
    </w:pPr>
    <w:rPr>
      <w:sz w:val="20"/>
    </w:rPr>
  </w:style>
  <w:style w:type="table" w:styleId="TableGrid">
    <w:name w:val="Table Grid"/>
    <w:basedOn w:val="TableNormal"/>
    <w:uiPriority w:val="59"/>
    <w:rsid w:val="001B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oText">
    <w:name w:val="Mmo Text"/>
    <w:uiPriority w:val="99"/>
    <w:rsid w:val="001B2473"/>
    <w:pPr>
      <w:spacing w:before="240"/>
      <w:jc w:val="both"/>
    </w:pPr>
    <w:rPr>
      <w:sz w:val="24"/>
      <w:szCs w:val="24"/>
      <w:lang w:val="en-GB"/>
    </w:rPr>
  </w:style>
  <w:style w:type="paragraph" w:customStyle="1" w:styleId="TableTitle">
    <w:name w:val="Table Title"/>
    <w:basedOn w:val="Normal"/>
    <w:next w:val="Table"/>
    <w:link w:val="TableTitleChar"/>
    <w:uiPriority w:val="99"/>
    <w:rsid w:val="001B2473"/>
    <w:pPr>
      <w:keepNext/>
      <w:spacing w:before="240" w:after="120"/>
      <w:jc w:val="center"/>
    </w:pPr>
    <w:rPr>
      <w:rFonts w:cs="Arial"/>
      <w:b/>
      <w:sz w:val="28"/>
      <w:szCs w:val="28"/>
      <w:lang w:val="en-US"/>
    </w:rPr>
  </w:style>
  <w:style w:type="character" w:customStyle="1" w:styleId="TableTitleChar">
    <w:name w:val="Table Title Char"/>
    <w:basedOn w:val="DefaultParagraphFont"/>
    <w:link w:val="TableTitle"/>
    <w:uiPriority w:val="99"/>
    <w:locked/>
    <w:rsid w:val="001B2473"/>
    <w:rPr>
      <w:rFonts w:ascii="Arial" w:hAnsi="Arial" w:cs="Arial"/>
      <w:b/>
      <w:sz w:val="28"/>
      <w:szCs w:val="28"/>
      <w:lang w:val="en-US" w:eastAsia="en-US"/>
    </w:rPr>
  </w:style>
  <w:style w:type="paragraph" w:customStyle="1" w:styleId="font5">
    <w:name w:val="font5"/>
    <w:basedOn w:val="Normal"/>
    <w:uiPriority w:val="99"/>
    <w:rsid w:val="001B2473"/>
    <w:pPr>
      <w:spacing w:before="100" w:beforeAutospacing="1" w:after="100" w:afterAutospacing="1"/>
      <w:jc w:val="left"/>
    </w:pPr>
    <w:rPr>
      <w:rFonts w:cs="Arial"/>
      <w:b/>
      <w:bCs/>
      <w:sz w:val="20"/>
      <w:lang w:val="en-US"/>
    </w:rPr>
  </w:style>
  <w:style w:type="paragraph" w:customStyle="1" w:styleId="font6">
    <w:name w:val="font6"/>
    <w:basedOn w:val="Normal"/>
    <w:uiPriority w:val="99"/>
    <w:rsid w:val="001B2473"/>
    <w:pPr>
      <w:spacing w:before="100" w:beforeAutospacing="1" w:after="100" w:afterAutospacing="1"/>
      <w:jc w:val="left"/>
    </w:pPr>
    <w:rPr>
      <w:rFonts w:cs="Arial"/>
      <w:b/>
      <w:bCs/>
      <w:sz w:val="20"/>
      <w:lang w:val="en-US"/>
    </w:rPr>
  </w:style>
  <w:style w:type="paragraph" w:customStyle="1" w:styleId="font7">
    <w:name w:val="font7"/>
    <w:basedOn w:val="Normal"/>
    <w:uiPriority w:val="99"/>
    <w:rsid w:val="001B2473"/>
    <w:pPr>
      <w:spacing w:before="100" w:beforeAutospacing="1" w:after="100" w:afterAutospacing="1"/>
      <w:jc w:val="left"/>
    </w:pPr>
    <w:rPr>
      <w:rFonts w:cs="Arial"/>
      <w:b/>
      <w:bCs/>
      <w:color w:val="000000"/>
      <w:sz w:val="20"/>
      <w:lang w:val="en-US"/>
    </w:rPr>
  </w:style>
  <w:style w:type="paragraph" w:customStyle="1" w:styleId="font8">
    <w:name w:val="font8"/>
    <w:basedOn w:val="Normal"/>
    <w:uiPriority w:val="99"/>
    <w:rsid w:val="001B2473"/>
    <w:pPr>
      <w:spacing w:before="100" w:beforeAutospacing="1" w:after="100" w:afterAutospacing="1"/>
      <w:jc w:val="left"/>
    </w:pPr>
    <w:rPr>
      <w:rFonts w:cs="Arial"/>
      <w:b/>
      <w:bCs/>
      <w:color w:val="000000"/>
      <w:sz w:val="20"/>
      <w:lang w:val="en-US"/>
    </w:rPr>
  </w:style>
  <w:style w:type="paragraph" w:customStyle="1" w:styleId="xl72">
    <w:name w:val="xl72"/>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73">
    <w:name w:val="xl73"/>
    <w:basedOn w:val="Normal"/>
    <w:uiPriority w:val="99"/>
    <w:rsid w:val="001B2473"/>
    <w:pPr>
      <w:spacing w:before="100" w:beforeAutospacing="1" w:after="100" w:afterAutospacing="1"/>
      <w:jc w:val="left"/>
      <w:textAlignment w:val="center"/>
    </w:pPr>
    <w:rPr>
      <w:sz w:val="24"/>
      <w:szCs w:val="24"/>
      <w:lang w:val="en-US"/>
    </w:rPr>
  </w:style>
  <w:style w:type="paragraph" w:customStyle="1" w:styleId="xl74">
    <w:name w:val="xl74"/>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75">
    <w:name w:val="xl75"/>
    <w:basedOn w:val="Normal"/>
    <w:uiPriority w:val="99"/>
    <w:rsid w:val="001B247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76">
    <w:name w:val="xl76"/>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77">
    <w:name w:val="xl77"/>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78">
    <w:name w:val="xl78"/>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79">
    <w:name w:val="xl79"/>
    <w:basedOn w:val="Normal"/>
    <w:uiPriority w:val="99"/>
    <w:rsid w:val="001B247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80">
    <w:name w:val="xl80"/>
    <w:basedOn w:val="Normal"/>
    <w:uiPriority w:val="99"/>
    <w:rsid w:val="001B2473"/>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24"/>
      <w:szCs w:val="24"/>
      <w:lang w:val="en-US"/>
    </w:rPr>
  </w:style>
  <w:style w:type="paragraph" w:customStyle="1" w:styleId="xl81">
    <w:name w:val="xl81"/>
    <w:basedOn w:val="Normal"/>
    <w:uiPriority w:val="99"/>
    <w:rsid w:val="001B2473"/>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left"/>
      <w:textAlignment w:val="center"/>
    </w:pPr>
    <w:rPr>
      <w:sz w:val="24"/>
      <w:szCs w:val="24"/>
      <w:lang w:val="en-US"/>
    </w:rPr>
  </w:style>
  <w:style w:type="paragraph" w:customStyle="1" w:styleId="xl82">
    <w:name w:val="xl82"/>
    <w:basedOn w:val="Normal"/>
    <w:uiPriority w:val="99"/>
    <w:rsid w:val="001B2473"/>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sz w:val="24"/>
      <w:szCs w:val="24"/>
      <w:lang w:val="en-US"/>
    </w:rPr>
  </w:style>
  <w:style w:type="paragraph" w:customStyle="1" w:styleId="xl83">
    <w:name w:val="xl83"/>
    <w:basedOn w:val="Normal"/>
    <w:uiPriority w:val="99"/>
    <w:rsid w:val="001B2473"/>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sz w:val="24"/>
      <w:szCs w:val="24"/>
      <w:lang w:val="en-US"/>
    </w:rPr>
  </w:style>
  <w:style w:type="paragraph" w:customStyle="1" w:styleId="xl84">
    <w:name w:val="xl84"/>
    <w:basedOn w:val="Normal"/>
    <w:uiPriority w:val="99"/>
    <w:rsid w:val="001B2473"/>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left"/>
      <w:textAlignment w:val="center"/>
    </w:pPr>
    <w:rPr>
      <w:b/>
      <w:bCs/>
      <w:szCs w:val="22"/>
      <w:lang w:val="en-US"/>
    </w:rPr>
  </w:style>
  <w:style w:type="paragraph" w:customStyle="1" w:styleId="xl85">
    <w:name w:val="xl85"/>
    <w:basedOn w:val="Normal"/>
    <w:uiPriority w:val="99"/>
    <w:rsid w:val="001B24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86">
    <w:name w:val="xl86"/>
    <w:basedOn w:val="Normal"/>
    <w:uiPriority w:val="99"/>
    <w:rsid w:val="001B247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87">
    <w:name w:val="xl87"/>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88">
    <w:name w:val="xl88"/>
    <w:basedOn w:val="Normal"/>
    <w:uiPriority w:val="99"/>
    <w:rsid w:val="001B2473"/>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89">
    <w:name w:val="xl89"/>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90">
    <w:name w:val="xl90"/>
    <w:basedOn w:val="Normal"/>
    <w:uiPriority w:val="99"/>
    <w:rsid w:val="001B2473"/>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91">
    <w:name w:val="xl91"/>
    <w:basedOn w:val="Normal"/>
    <w:uiPriority w:val="99"/>
    <w:rsid w:val="001B247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92">
    <w:name w:val="xl92"/>
    <w:basedOn w:val="Normal"/>
    <w:uiPriority w:val="99"/>
    <w:rsid w:val="001B2473"/>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93">
    <w:name w:val="xl93"/>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94">
    <w:name w:val="xl94"/>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en-US"/>
    </w:rPr>
  </w:style>
  <w:style w:type="paragraph" w:customStyle="1" w:styleId="xl95">
    <w:name w:val="xl95"/>
    <w:basedOn w:val="Normal"/>
    <w:uiPriority w:val="99"/>
    <w:rsid w:val="001B2473"/>
    <w:pPr>
      <w:spacing w:before="100" w:beforeAutospacing="1" w:after="100" w:afterAutospacing="1"/>
      <w:jc w:val="left"/>
      <w:textAlignment w:val="center"/>
    </w:pPr>
    <w:rPr>
      <w:color w:val="FF0000"/>
      <w:sz w:val="24"/>
      <w:szCs w:val="24"/>
      <w:lang w:val="en-US"/>
    </w:rPr>
  </w:style>
  <w:style w:type="paragraph" w:customStyle="1" w:styleId="xl96">
    <w:name w:val="xl96"/>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97">
    <w:name w:val="xl97"/>
    <w:basedOn w:val="Normal"/>
    <w:uiPriority w:val="99"/>
    <w:rsid w:val="001B2473"/>
    <w:pPr>
      <w:pBdr>
        <w:top w:val="single" w:sz="4" w:space="0" w:color="auto"/>
        <w:right w:val="single" w:sz="4" w:space="0" w:color="auto"/>
      </w:pBdr>
      <w:shd w:val="clear" w:color="000000" w:fill="B6DDE8"/>
      <w:spacing w:before="100" w:beforeAutospacing="1" w:after="100" w:afterAutospacing="1"/>
      <w:jc w:val="center"/>
      <w:textAlignment w:val="center"/>
    </w:pPr>
    <w:rPr>
      <w:sz w:val="24"/>
      <w:szCs w:val="24"/>
      <w:lang w:val="en-US"/>
    </w:rPr>
  </w:style>
  <w:style w:type="paragraph" w:customStyle="1" w:styleId="xl98">
    <w:name w:val="xl98"/>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99">
    <w:name w:val="xl99"/>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FF0000"/>
      <w:sz w:val="24"/>
      <w:szCs w:val="24"/>
      <w:lang w:val="en-US"/>
    </w:rPr>
  </w:style>
  <w:style w:type="paragraph" w:customStyle="1" w:styleId="xl100">
    <w:name w:val="xl100"/>
    <w:basedOn w:val="Normal"/>
    <w:uiPriority w:val="99"/>
    <w:rsid w:val="001B2473"/>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01">
    <w:name w:val="xl101"/>
    <w:basedOn w:val="Normal"/>
    <w:uiPriority w:val="99"/>
    <w:rsid w:val="001B247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val="en-US"/>
    </w:rPr>
  </w:style>
  <w:style w:type="paragraph" w:customStyle="1" w:styleId="xl102">
    <w:name w:val="xl102"/>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b/>
      <w:bCs/>
      <w:sz w:val="24"/>
      <w:szCs w:val="24"/>
      <w:lang w:val="en-US"/>
    </w:rPr>
  </w:style>
  <w:style w:type="paragraph" w:customStyle="1" w:styleId="xl103">
    <w:name w:val="xl103"/>
    <w:basedOn w:val="Normal"/>
    <w:uiPriority w:val="99"/>
    <w:rsid w:val="001B2473"/>
    <w:pPr>
      <w:pBdr>
        <w:top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04">
    <w:name w:val="xl104"/>
    <w:basedOn w:val="Normal"/>
    <w:uiPriority w:val="99"/>
    <w:rsid w:val="001B2473"/>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05">
    <w:name w:val="xl105"/>
    <w:basedOn w:val="Normal"/>
    <w:uiPriority w:val="99"/>
    <w:rsid w:val="001B247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06">
    <w:name w:val="xl106"/>
    <w:basedOn w:val="Normal"/>
    <w:uiPriority w:val="99"/>
    <w:rsid w:val="001B24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107">
    <w:name w:val="xl107"/>
    <w:basedOn w:val="Normal"/>
    <w:uiPriority w:val="99"/>
    <w:rsid w:val="001B2473"/>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08">
    <w:name w:val="xl108"/>
    <w:basedOn w:val="Normal"/>
    <w:uiPriority w:val="99"/>
    <w:rsid w:val="001B24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109">
    <w:name w:val="xl109"/>
    <w:basedOn w:val="Normal"/>
    <w:uiPriority w:val="99"/>
    <w:rsid w:val="001B2473"/>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10">
    <w:name w:val="xl110"/>
    <w:basedOn w:val="Normal"/>
    <w:uiPriority w:val="99"/>
    <w:rsid w:val="001B2473"/>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11">
    <w:name w:val="xl111"/>
    <w:basedOn w:val="Normal"/>
    <w:uiPriority w:val="99"/>
    <w:rsid w:val="001B247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12">
    <w:name w:val="xl112"/>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b/>
      <w:bCs/>
      <w:sz w:val="24"/>
      <w:szCs w:val="24"/>
      <w:lang w:val="en-US"/>
    </w:rPr>
  </w:style>
  <w:style w:type="paragraph" w:customStyle="1" w:styleId="xl113">
    <w:name w:val="xl113"/>
    <w:basedOn w:val="Normal"/>
    <w:uiPriority w:val="99"/>
    <w:rsid w:val="001B2473"/>
    <w:pPr>
      <w:pBdr>
        <w:top w:val="single" w:sz="4" w:space="0" w:color="auto"/>
        <w:bottom w:val="single" w:sz="4" w:space="0" w:color="auto"/>
      </w:pBdr>
      <w:spacing w:before="100" w:beforeAutospacing="1" w:after="100" w:afterAutospacing="1"/>
      <w:jc w:val="left"/>
      <w:textAlignment w:val="center"/>
    </w:pPr>
    <w:rPr>
      <w:sz w:val="24"/>
      <w:szCs w:val="24"/>
      <w:lang w:val="en-US"/>
    </w:rPr>
  </w:style>
  <w:style w:type="paragraph" w:customStyle="1" w:styleId="xl114">
    <w:name w:val="xl114"/>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sz w:val="24"/>
      <w:szCs w:val="24"/>
      <w:lang w:val="en-US"/>
    </w:rPr>
  </w:style>
  <w:style w:type="paragraph" w:customStyle="1" w:styleId="xl115">
    <w:name w:val="xl115"/>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sz w:val="24"/>
      <w:szCs w:val="24"/>
      <w:lang w:val="en-US"/>
    </w:rPr>
  </w:style>
  <w:style w:type="paragraph" w:customStyle="1" w:styleId="xl116">
    <w:name w:val="xl116"/>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sz w:val="24"/>
      <w:szCs w:val="24"/>
      <w:lang w:val="en-US"/>
    </w:rPr>
  </w:style>
  <w:style w:type="paragraph" w:customStyle="1" w:styleId="xl117">
    <w:name w:val="xl117"/>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sz w:val="24"/>
      <w:szCs w:val="24"/>
      <w:lang w:val="en-US"/>
    </w:rPr>
  </w:style>
  <w:style w:type="paragraph" w:customStyle="1" w:styleId="xl118">
    <w:name w:val="xl118"/>
    <w:basedOn w:val="Normal"/>
    <w:uiPriority w:val="99"/>
    <w:rsid w:val="001B2473"/>
    <w:pPr>
      <w:pBdr>
        <w:top w:val="single" w:sz="4" w:space="0" w:color="auto"/>
        <w:bottom w:val="single" w:sz="4" w:space="0" w:color="auto"/>
      </w:pBdr>
      <w:spacing w:before="100" w:beforeAutospacing="1" w:after="100" w:afterAutospacing="1"/>
      <w:jc w:val="left"/>
      <w:textAlignment w:val="center"/>
    </w:pPr>
    <w:rPr>
      <w:sz w:val="24"/>
      <w:szCs w:val="24"/>
      <w:lang w:val="en-US"/>
    </w:rPr>
  </w:style>
  <w:style w:type="paragraph" w:customStyle="1" w:styleId="xl119">
    <w:name w:val="xl119"/>
    <w:basedOn w:val="Normal"/>
    <w:uiPriority w:val="99"/>
    <w:rsid w:val="001B2473"/>
    <w:pPr>
      <w:pBdr>
        <w:bottom w:val="single" w:sz="4" w:space="0" w:color="auto"/>
      </w:pBdr>
      <w:spacing w:before="100" w:beforeAutospacing="1" w:after="100" w:afterAutospacing="1"/>
      <w:jc w:val="center"/>
      <w:textAlignment w:val="center"/>
    </w:pPr>
    <w:rPr>
      <w:b/>
      <w:bCs/>
      <w:sz w:val="24"/>
      <w:szCs w:val="24"/>
      <w:lang w:val="en-US"/>
    </w:rPr>
  </w:style>
  <w:style w:type="paragraph" w:customStyle="1" w:styleId="xl120">
    <w:name w:val="xl120"/>
    <w:basedOn w:val="Normal"/>
    <w:uiPriority w:val="99"/>
    <w:rsid w:val="001B2473"/>
    <w:pPr>
      <w:pBdr>
        <w:bottom w:val="single" w:sz="4" w:space="0" w:color="auto"/>
      </w:pBdr>
      <w:spacing w:before="100" w:beforeAutospacing="1" w:after="100" w:afterAutospacing="1"/>
      <w:jc w:val="left"/>
      <w:textAlignment w:val="center"/>
    </w:pPr>
    <w:rPr>
      <w:sz w:val="24"/>
      <w:szCs w:val="24"/>
      <w:lang w:val="en-US"/>
    </w:rPr>
  </w:style>
  <w:style w:type="paragraph" w:customStyle="1" w:styleId="xl121">
    <w:name w:val="xl121"/>
    <w:basedOn w:val="Normal"/>
    <w:uiPriority w:val="99"/>
    <w:rsid w:val="001B2473"/>
    <w:pPr>
      <w:pBdr>
        <w:bottom w:val="single" w:sz="4" w:space="0" w:color="auto"/>
      </w:pBdr>
      <w:spacing w:before="100" w:beforeAutospacing="1" w:after="100" w:afterAutospacing="1"/>
      <w:jc w:val="center"/>
      <w:textAlignment w:val="center"/>
    </w:pPr>
    <w:rPr>
      <w:sz w:val="24"/>
      <w:szCs w:val="24"/>
      <w:lang w:val="en-US"/>
    </w:rPr>
  </w:style>
  <w:style w:type="paragraph" w:customStyle="1" w:styleId="xl122">
    <w:name w:val="xl122"/>
    <w:basedOn w:val="Normal"/>
    <w:uiPriority w:val="99"/>
    <w:rsid w:val="001B2473"/>
    <w:pPr>
      <w:pBdr>
        <w:bottom w:val="single" w:sz="4" w:space="0" w:color="auto"/>
      </w:pBdr>
      <w:spacing w:before="100" w:beforeAutospacing="1" w:after="100" w:afterAutospacing="1"/>
      <w:jc w:val="center"/>
      <w:textAlignment w:val="center"/>
    </w:pPr>
    <w:rPr>
      <w:sz w:val="24"/>
      <w:szCs w:val="24"/>
      <w:lang w:val="en-US"/>
    </w:rPr>
  </w:style>
  <w:style w:type="paragraph" w:customStyle="1" w:styleId="xl123">
    <w:name w:val="xl123"/>
    <w:basedOn w:val="Normal"/>
    <w:uiPriority w:val="99"/>
    <w:rsid w:val="001B2473"/>
    <w:pPr>
      <w:pBdr>
        <w:bottom w:val="single" w:sz="4" w:space="0" w:color="auto"/>
      </w:pBdr>
      <w:spacing w:before="100" w:beforeAutospacing="1" w:after="100" w:afterAutospacing="1"/>
      <w:jc w:val="center"/>
      <w:textAlignment w:val="center"/>
    </w:pPr>
    <w:rPr>
      <w:sz w:val="24"/>
      <w:szCs w:val="24"/>
      <w:lang w:val="en-US"/>
    </w:rPr>
  </w:style>
  <w:style w:type="paragraph" w:customStyle="1" w:styleId="xl124">
    <w:name w:val="xl124"/>
    <w:basedOn w:val="Normal"/>
    <w:uiPriority w:val="99"/>
    <w:rsid w:val="001B2473"/>
    <w:pPr>
      <w:pBdr>
        <w:bottom w:val="single" w:sz="4" w:space="0" w:color="auto"/>
      </w:pBdr>
      <w:spacing w:before="100" w:beforeAutospacing="1" w:after="100" w:afterAutospacing="1"/>
      <w:jc w:val="center"/>
      <w:textAlignment w:val="center"/>
    </w:pPr>
    <w:rPr>
      <w:sz w:val="24"/>
      <w:szCs w:val="24"/>
      <w:lang w:val="en-US"/>
    </w:rPr>
  </w:style>
  <w:style w:type="paragraph" w:customStyle="1" w:styleId="xl125">
    <w:name w:val="xl125"/>
    <w:basedOn w:val="Normal"/>
    <w:uiPriority w:val="99"/>
    <w:rsid w:val="001B2473"/>
    <w:pPr>
      <w:pBdr>
        <w:bottom w:val="single" w:sz="4" w:space="0" w:color="auto"/>
      </w:pBdr>
      <w:spacing w:before="100" w:beforeAutospacing="1" w:after="100" w:afterAutospacing="1"/>
      <w:jc w:val="left"/>
      <w:textAlignment w:val="center"/>
    </w:pPr>
    <w:rPr>
      <w:sz w:val="24"/>
      <w:szCs w:val="24"/>
      <w:lang w:val="en-US"/>
    </w:rPr>
  </w:style>
  <w:style w:type="paragraph" w:customStyle="1" w:styleId="xl126">
    <w:name w:val="xl126"/>
    <w:basedOn w:val="Normal"/>
    <w:uiPriority w:val="99"/>
    <w:rsid w:val="001B24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27">
    <w:name w:val="xl127"/>
    <w:basedOn w:val="Normal"/>
    <w:uiPriority w:val="99"/>
    <w:rsid w:val="001B2473"/>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28">
    <w:name w:val="xl128"/>
    <w:basedOn w:val="Normal"/>
    <w:uiPriority w:val="99"/>
    <w:rsid w:val="001B24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29">
    <w:name w:val="xl129"/>
    <w:basedOn w:val="Normal"/>
    <w:uiPriority w:val="99"/>
    <w:rsid w:val="001B2473"/>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30">
    <w:name w:val="xl130"/>
    <w:basedOn w:val="Normal"/>
    <w:uiPriority w:val="99"/>
    <w:rsid w:val="001B2473"/>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val="en-US"/>
    </w:rPr>
  </w:style>
  <w:style w:type="paragraph" w:customStyle="1" w:styleId="xl131">
    <w:name w:val="xl131"/>
    <w:basedOn w:val="Normal"/>
    <w:uiPriority w:val="99"/>
    <w:rsid w:val="001B24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32">
    <w:name w:val="xl132"/>
    <w:basedOn w:val="Normal"/>
    <w:uiPriority w:val="99"/>
    <w:rsid w:val="001B24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33">
    <w:name w:val="xl133"/>
    <w:basedOn w:val="Normal"/>
    <w:uiPriority w:val="99"/>
    <w:rsid w:val="001B2473"/>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sz w:val="24"/>
      <w:szCs w:val="24"/>
      <w:lang w:val="en-US"/>
    </w:rPr>
  </w:style>
  <w:style w:type="paragraph" w:customStyle="1" w:styleId="xl134">
    <w:name w:val="xl134"/>
    <w:basedOn w:val="Normal"/>
    <w:uiPriority w:val="99"/>
    <w:rsid w:val="001B2473"/>
    <w:pPr>
      <w:pBdr>
        <w:top w:val="single" w:sz="4" w:space="0" w:color="auto"/>
        <w:left w:val="single" w:sz="4" w:space="0" w:color="auto"/>
        <w:right w:val="single" w:sz="8" w:space="0" w:color="auto"/>
      </w:pBdr>
      <w:shd w:val="clear" w:color="000000" w:fill="FFFFFF"/>
      <w:spacing w:before="100" w:beforeAutospacing="1" w:after="100" w:afterAutospacing="1"/>
      <w:jc w:val="left"/>
      <w:textAlignment w:val="center"/>
    </w:pPr>
    <w:rPr>
      <w:sz w:val="24"/>
      <w:szCs w:val="24"/>
      <w:lang w:val="en-US"/>
    </w:rPr>
  </w:style>
  <w:style w:type="paragraph" w:customStyle="1" w:styleId="xl135">
    <w:name w:val="xl135"/>
    <w:basedOn w:val="Normal"/>
    <w:uiPriority w:val="99"/>
    <w:rsid w:val="001B247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136">
    <w:name w:val="xl136"/>
    <w:basedOn w:val="Normal"/>
    <w:uiPriority w:val="99"/>
    <w:rsid w:val="001B247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37">
    <w:name w:val="xl137"/>
    <w:basedOn w:val="Normal"/>
    <w:uiPriority w:val="99"/>
    <w:rsid w:val="001B2473"/>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38">
    <w:name w:val="xl138"/>
    <w:basedOn w:val="Normal"/>
    <w:uiPriority w:val="99"/>
    <w:rsid w:val="001B2473"/>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39">
    <w:name w:val="xl139"/>
    <w:basedOn w:val="Normal"/>
    <w:uiPriority w:val="99"/>
    <w:rsid w:val="001B2473"/>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sz w:val="24"/>
      <w:szCs w:val="24"/>
      <w:lang w:val="en-US"/>
    </w:rPr>
  </w:style>
  <w:style w:type="paragraph" w:customStyle="1" w:styleId="xl140">
    <w:name w:val="xl140"/>
    <w:basedOn w:val="Normal"/>
    <w:uiPriority w:val="99"/>
    <w:rsid w:val="001B247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41">
    <w:name w:val="xl141"/>
    <w:basedOn w:val="Normal"/>
    <w:uiPriority w:val="99"/>
    <w:rsid w:val="001B247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42">
    <w:name w:val="xl142"/>
    <w:basedOn w:val="Normal"/>
    <w:uiPriority w:val="99"/>
    <w:rsid w:val="001B247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43">
    <w:name w:val="xl143"/>
    <w:basedOn w:val="Normal"/>
    <w:uiPriority w:val="99"/>
    <w:rsid w:val="001B2473"/>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144">
    <w:name w:val="xl144"/>
    <w:basedOn w:val="Normal"/>
    <w:uiPriority w:val="99"/>
    <w:rsid w:val="001B247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45">
    <w:name w:val="xl145"/>
    <w:basedOn w:val="Normal"/>
    <w:uiPriority w:val="99"/>
    <w:rsid w:val="001B24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en-US"/>
    </w:rPr>
  </w:style>
  <w:style w:type="paragraph" w:customStyle="1" w:styleId="xl146">
    <w:name w:val="xl146"/>
    <w:basedOn w:val="Normal"/>
    <w:uiPriority w:val="99"/>
    <w:rsid w:val="001B2473"/>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FF0000"/>
      <w:sz w:val="24"/>
      <w:szCs w:val="24"/>
      <w:lang w:val="en-US"/>
    </w:rPr>
  </w:style>
  <w:style w:type="paragraph" w:customStyle="1" w:styleId="xl147">
    <w:name w:val="xl147"/>
    <w:basedOn w:val="Normal"/>
    <w:uiPriority w:val="99"/>
    <w:rsid w:val="001B2473"/>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val="en-US"/>
    </w:rPr>
  </w:style>
  <w:style w:type="paragraph" w:customStyle="1" w:styleId="xl148">
    <w:name w:val="xl148"/>
    <w:basedOn w:val="Normal"/>
    <w:uiPriority w:val="99"/>
    <w:rsid w:val="001B2473"/>
    <w:pPr>
      <w:pBdr>
        <w:top w:val="single" w:sz="4" w:space="0" w:color="auto"/>
        <w:left w:val="single" w:sz="4" w:space="0" w:color="auto"/>
        <w:right w:val="single" w:sz="8"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149">
    <w:name w:val="xl149"/>
    <w:basedOn w:val="Normal"/>
    <w:uiPriority w:val="99"/>
    <w:rsid w:val="001B247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50">
    <w:name w:val="xl150"/>
    <w:basedOn w:val="Normal"/>
    <w:uiPriority w:val="99"/>
    <w:rsid w:val="001B2473"/>
    <w:pPr>
      <w:pBdr>
        <w:left w:val="single" w:sz="4" w:space="0" w:color="auto"/>
        <w:bottom w:val="single" w:sz="4" w:space="0" w:color="auto"/>
        <w:right w:val="single" w:sz="8" w:space="0" w:color="auto"/>
      </w:pBdr>
      <w:spacing w:before="100" w:beforeAutospacing="1" w:after="100" w:afterAutospacing="1"/>
      <w:jc w:val="left"/>
      <w:textAlignment w:val="center"/>
    </w:pPr>
    <w:rPr>
      <w:sz w:val="24"/>
      <w:szCs w:val="24"/>
      <w:lang w:val="en-US"/>
    </w:rPr>
  </w:style>
  <w:style w:type="paragraph" w:customStyle="1" w:styleId="xl151">
    <w:name w:val="xl151"/>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52">
    <w:name w:val="xl152"/>
    <w:basedOn w:val="Normal"/>
    <w:uiPriority w:val="99"/>
    <w:rsid w:val="001B2473"/>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53">
    <w:name w:val="xl153"/>
    <w:basedOn w:val="Normal"/>
    <w:uiPriority w:val="99"/>
    <w:rsid w:val="001B2473"/>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54">
    <w:name w:val="xl154"/>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lang w:val="en-US"/>
    </w:rPr>
  </w:style>
  <w:style w:type="paragraph" w:customStyle="1" w:styleId="xl155">
    <w:name w:val="xl155"/>
    <w:basedOn w:val="Normal"/>
    <w:uiPriority w:val="99"/>
    <w:rsid w:val="001B2473"/>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color w:val="FF0000"/>
      <w:sz w:val="24"/>
      <w:szCs w:val="24"/>
      <w:lang w:val="en-US"/>
    </w:rPr>
  </w:style>
  <w:style w:type="paragraph" w:customStyle="1" w:styleId="xl156">
    <w:name w:val="xl156"/>
    <w:basedOn w:val="Normal"/>
    <w:uiPriority w:val="99"/>
    <w:rsid w:val="001B2473"/>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center"/>
    </w:pPr>
    <w:rPr>
      <w:sz w:val="24"/>
      <w:szCs w:val="24"/>
      <w:lang w:val="en-US"/>
    </w:rPr>
  </w:style>
  <w:style w:type="paragraph" w:customStyle="1" w:styleId="xl157">
    <w:name w:val="xl157"/>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58">
    <w:name w:val="xl158"/>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59">
    <w:name w:val="xl159"/>
    <w:basedOn w:val="Normal"/>
    <w:uiPriority w:val="99"/>
    <w:rsid w:val="001B2473"/>
    <w:pPr>
      <w:pBdr>
        <w:top w:val="single" w:sz="8" w:space="0" w:color="auto"/>
        <w:left w:val="single" w:sz="4" w:space="0" w:color="auto"/>
        <w:right w:val="single" w:sz="8" w:space="0" w:color="auto"/>
      </w:pBdr>
      <w:spacing w:before="100" w:beforeAutospacing="1" w:after="100" w:afterAutospacing="1"/>
      <w:jc w:val="left"/>
      <w:textAlignment w:val="center"/>
    </w:pPr>
    <w:rPr>
      <w:sz w:val="24"/>
      <w:szCs w:val="24"/>
      <w:lang w:val="en-US"/>
    </w:rPr>
  </w:style>
  <w:style w:type="paragraph" w:customStyle="1" w:styleId="xl160">
    <w:name w:val="xl160"/>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61">
    <w:name w:val="xl161"/>
    <w:basedOn w:val="Normal"/>
    <w:uiPriority w:val="99"/>
    <w:rsid w:val="001B2473"/>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4"/>
      <w:szCs w:val="24"/>
      <w:lang w:val="en-US"/>
    </w:rPr>
  </w:style>
  <w:style w:type="paragraph" w:customStyle="1" w:styleId="xl162">
    <w:name w:val="xl162"/>
    <w:basedOn w:val="Normal"/>
    <w:uiPriority w:val="99"/>
    <w:rsid w:val="001B2473"/>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4"/>
      <w:szCs w:val="24"/>
      <w:lang w:val="en-US"/>
    </w:rPr>
  </w:style>
  <w:style w:type="paragraph" w:customStyle="1" w:styleId="xl163">
    <w:name w:val="xl163"/>
    <w:basedOn w:val="Normal"/>
    <w:uiPriority w:val="99"/>
    <w:rsid w:val="001B2473"/>
    <w:pPr>
      <w:pBdr>
        <w:bottom w:val="single" w:sz="4" w:space="0" w:color="auto"/>
      </w:pBdr>
      <w:spacing w:before="100" w:beforeAutospacing="1" w:after="100" w:afterAutospacing="1"/>
      <w:jc w:val="center"/>
      <w:textAlignment w:val="center"/>
    </w:pPr>
    <w:rPr>
      <w:sz w:val="24"/>
      <w:szCs w:val="24"/>
      <w:lang w:val="en-US"/>
    </w:rPr>
  </w:style>
  <w:style w:type="paragraph" w:customStyle="1" w:styleId="xl164">
    <w:name w:val="xl164"/>
    <w:basedOn w:val="Normal"/>
    <w:uiPriority w:val="99"/>
    <w:rsid w:val="001B2473"/>
    <w:pPr>
      <w:pBdr>
        <w:top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65">
    <w:name w:val="xl165"/>
    <w:basedOn w:val="Normal"/>
    <w:uiPriority w:val="99"/>
    <w:rsid w:val="001B247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4"/>
      <w:szCs w:val="24"/>
      <w:lang w:val="en-US"/>
    </w:rPr>
  </w:style>
  <w:style w:type="paragraph" w:customStyle="1" w:styleId="xl166">
    <w:name w:val="xl166"/>
    <w:basedOn w:val="Normal"/>
    <w:uiPriority w:val="99"/>
    <w:rsid w:val="001B2473"/>
    <w:pPr>
      <w:pBdr>
        <w:top w:val="single" w:sz="4" w:space="0" w:color="auto"/>
        <w:left w:val="single" w:sz="4" w:space="0" w:color="auto"/>
        <w:right w:val="single" w:sz="8" w:space="0" w:color="auto"/>
      </w:pBdr>
      <w:shd w:val="clear" w:color="000000" w:fill="00B0F0"/>
      <w:spacing w:before="100" w:beforeAutospacing="1" w:after="100" w:afterAutospacing="1"/>
      <w:jc w:val="left"/>
      <w:textAlignment w:val="center"/>
    </w:pPr>
    <w:rPr>
      <w:sz w:val="24"/>
      <w:szCs w:val="24"/>
      <w:lang w:val="en-US"/>
    </w:rPr>
  </w:style>
  <w:style w:type="paragraph" w:customStyle="1" w:styleId="xl167">
    <w:name w:val="xl167"/>
    <w:basedOn w:val="Normal"/>
    <w:uiPriority w:val="99"/>
    <w:rsid w:val="001B2473"/>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68">
    <w:name w:val="xl168"/>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69">
    <w:name w:val="xl169"/>
    <w:basedOn w:val="Normal"/>
    <w:uiPriority w:val="99"/>
    <w:rsid w:val="001B2473"/>
    <w:pPr>
      <w:pBdr>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70">
    <w:name w:val="xl170"/>
    <w:basedOn w:val="Normal"/>
    <w:uiPriority w:val="99"/>
    <w:rsid w:val="001B2473"/>
    <w:pPr>
      <w:pBdr>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71">
    <w:name w:val="xl171"/>
    <w:basedOn w:val="Normal"/>
    <w:uiPriority w:val="99"/>
    <w:rsid w:val="001B2473"/>
    <w:pPr>
      <w:pBdr>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72">
    <w:name w:val="xl172"/>
    <w:basedOn w:val="Normal"/>
    <w:uiPriority w:val="99"/>
    <w:rsid w:val="001B2473"/>
    <w:pPr>
      <w:pBdr>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73">
    <w:name w:val="xl173"/>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74">
    <w:name w:val="xl174"/>
    <w:basedOn w:val="Normal"/>
    <w:uiPriority w:val="99"/>
    <w:rsid w:val="001B2473"/>
    <w:pPr>
      <w:pBdr>
        <w:top w:val="single" w:sz="8" w:space="0" w:color="auto"/>
        <w:left w:val="single" w:sz="4" w:space="0" w:color="auto"/>
        <w:right w:val="single" w:sz="8" w:space="0" w:color="auto"/>
      </w:pBdr>
      <w:spacing w:before="100" w:beforeAutospacing="1" w:after="100" w:afterAutospacing="1"/>
      <w:jc w:val="left"/>
      <w:textAlignment w:val="center"/>
    </w:pPr>
    <w:rPr>
      <w:sz w:val="24"/>
      <w:szCs w:val="24"/>
      <w:lang w:val="en-US"/>
    </w:rPr>
  </w:style>
  <w:style w:type="paragraph" w:customStyle="1" w:styleId="xl175">
    <w:name w:val="xl175"/>
    <w:basedOn w:val="Normal"/>
    <w:uiPriority w:val="99"/>
    <w:rsid w:val="001B2473"/>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lang w:val="en-US"/>
    </w:rPr>
  </w:style>
  <w:style w:type="paragraph" w:customStyle="1" w:styleId="xl176">
    <w:name w:val="xl176"/>
    <w:basedOn w:val="Normal"/>
    <w:uiPriority w:val="99"/>
    <w:rsid w:val="001B2473"/>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77">
    <w:name w:val="xl177"/>
    <w:basedOn w:val="Normal"/>
    <w:uiPriority w:val="99"/>
    <w:rsid w:val="001B247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78">
    <w:name w:val="xl178"/>
    <w:basedOn w:val="Normal"/>
    <w:uiPriority w:val="99"/>
    <w:rsid w:val="001B247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79">
    <w:name w:val="xl179"/>
    <w:basedOn w:val="Normal"/>
    <w:uiPriority w:val="99"/>
    <w:rsid w:val="001B247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sz w:val="24"/>
      <w:szCs w:val="24"/>
      <w:lang w:val="en-US"/>
    </w:rPr>
  </w:style>
  <w:style w:type="paragraph" w:customStyle="1" w:styleId="xl180">
    <w:name w:val="xl180"/>
    <w:basedOn w:val="Normal"/>
    <w:uiPriority w:val="99"/>
    <w:rsid w:val="001B247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181">
    <w:name w:val="xl181"/>
    <w:basedOn w:val="Normal"/>
    <w:uiPriority w:val="99"/>
    <w:rsid w:val="001B2473"/>
    <w:pPr>
      <w:pBdr>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82">
    <w:name w:val="xl182"/>
    <w:basedOn w:val="Normal"/>
    <w:uiPriority w:val="99"/>
    <w:rsid w:val="001B2473"/>
    <w:pPr>
      <w:pBdr>
        <w:top w:val="single" w:sz="4" w:space="0" w:color="auto"/>
        <w:left w:val="single" w:sz="4" w:space="0" w:color="auto"/>
        <w:right w:val="single" w:sz="4" w:space="0" w:color="auto"/>
      </w:pBdr>
      <w:shd w:val="clear" w:color="000000" w:fill="BFBFBF"/>
      <w:spacing w:before="100" w:beforeAutospacing="1" w:after="100" w:afterAutospacing="1"/>
      <w:jc w:val="left"/>
      <w:textAlignment w:val="center"/>
    </w:pPr>
    <w:rPr>
      <w:sz w:val="24"/>
      <w:szCs w:val="24"/>
      <w:lang w:val="en-US"/>
    </w:rPr>
  </w:style>
  <w:style w:type="paragraph" w:customStyle="1" w:styleId="xl183">
    <w:name w:val="xl183"/>
    <w:basedOn w:val="Normal"/>
    <w:uiPriority w:val="99"/>
    <w:rsid w:val="001B2473"/>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84">
    <w:name w:val="xl184"/>
    <w:basedOn w:val="Normal"/>
    <w:uiPriority w:val="99"/>
    <w:rsid w:val="001B2473"/>
    <w:pPr>
      <w:pBdr>
        <w:left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85">
    <w:name w:val="xl185"/>
    <w:basedOn w:val="Normal"/>
    <w:uiPriority w:val="99"/>
    <w:rsid w:val="001B2473"/>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86">
    <w:name w:val="xl186"/>
    <w:basedOn w:val="Normal"/>
    <w:uiPriority w:val="99"/>
    <w:rsid w:val="001B2473"/>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b/>
      <w:bCs/>
      <w:sz w:val="24"/>
      <w:szCs w:val="24"/>
      <w:lang w:val="en-US"/>
    </w:rPr>
  </w:style>
  <w:style w:type="paragraph" w:customStyle="1" w:styleId="xl187">
    <w:name w:val="xl187"/>
    <w:basedOn w:val="Normal"/>
    <w:uiPriority w:val="99"/>
    <w:rsid w:val="001B2473"/>
    <w:pPr>
      <w:pBdr>
        <w:left w:val="single" w:sz="8" w:space="0" w:color="auto"/>
        <w:right w:val="single" w:sz="4" w:space="0" w:color="auto"/>
      </w:pBdr>
      <w:shd w:val="clear" w:color="000000" w:fill="FFFF00"/>
      <w:spacing w:before="100" w:beforeAutospacing="1" w:after="100" w:afterAutospacing="1"/>
      <w:jc w:val="center"/>
      <w:textAlignment w:val="center"/>
    </w:pPr>
    <w:rPr>
      <w:b/>
      <w:bCs/>
      <w:sz w:val="24"/>
      <w:szCs w:val="24"/>
      <w:lang w:val="en-US"/>
    </w:rPr>
  </w:style>
  <w:style w:type="paragraph" w:customStyle="1" w:styleId="xl188">
    <w:name w:val="xl188"/>
    <w:basedOn w:val="Normal"/>
    <w:uiPriority w:val="99"/>
    <w:rsid w:val="001B2473"/>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4"/>
      <w:szCs w:val="24"/>
      <w:lang w:val="en-US"/>
    </w:rPr>
  </w:style>
  <w:style w:type="paragraph" w:customStyle="1" w:styleId="xl189">
    <w:name w:val="xl189"/>
    <w:basedOn w:val="Normal"/>
    <w:uiPriority w:val="99"/>
    <w:rsid w:val="001B2473"/>
    <w:pPr>
      <w:pBdr>
        <w:top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90">
    <w:name w:val="xl190"/>
    <w:basedOn w:val="Normal"/>
    <w:uiPriority w:val="99"/>
    <w:rsid w:val="001B2473"/>
    <w:pPr>
      <w:pBdr>
        <w:right w:val="single" w:sz="4" w:space="0" w:color="auto"/>
      </w:pBdr>
      <w:spacing w:before="100" w:beforeAutospacing="1" w:after="100" w:afterAutospacing="1"/>
      <w:jc w:val="center"/>
      <w:textAlignment w:val="center"/>
    </w:pPr>
    <w:rPr>
      <w:b/>
      <w:bCs/>
      <w:sz w:val="24"/>
      <w:szCs w:val="24"/>
      <w:lang w:val="en-US"/>
    </w:rPr>
  </w:style>
  <w:style w:type="paragraph" w:customStyle="1" w:styleId="xl191">
    <w:name w:val="xl191"/>
    <w:basedOn w:val="Normal"/>
    <w:uiPriority w:val="99"/>
    <w:rsid w:val="001B2473"/>
    <w:pPr>
      <w:pBdr>
        <w:bottom w:val="single" w:sz="8"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92">
    <w:name w:val="xl192"/>
    <w:basedOn w:val="Normal"/>
    <w:uiPriority w:val="99"/>
    <w:rsid w:val="001B2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93">
    <w:name w:val="xl193"/>
    <w:basedOn w:val="Normal"/>
    <w:uiPriority w:val="99"/>
    <w:rsid w:val="001B2473"/>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b/>
      <w:bCs/>
      <w:sz w:val="24"/>
      <w:szCs w:val="24"/>
      <w:lang w:val="en-US"/>
    </w:rPr>
  </w:style>
  <w:style w:type="paragraph" w:customStyle="1" w:styleId="xl194">
    <w:name w:val="xl194"/>
    <w:basedOn w:val="Normal"/>
    <w:uiPriority w:val="99"/>
    <w:rsid w:val="001B2473"/>
    <w:pPr>
      <w:pBdr>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95">
    <w:name w:val="xl195"/>
    <w:basedOn w:val="Normal"/>
    <w:uiPriority w:val="99"/>
    <w:rsid w:val="001B2473"/>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96">
    <w:name w:val="xl196"/>
    <w:basedOn w:val="Normal"/>
    <w:uiPriority w:val="99"/>
    <w:rsid w:val="001B2473"/>
    <w:pPr>
      <w:pBdr>
        <w:top w:val="single" w:sz="4" w:space="0" w:color="auto"/>
        <w:left w:val="single" w:sz="4" w:space="0" w:color="auto"/>
        <w:right w:val="single" w:sz="4" w:space="0" w:color="auto"/>
      </w:pBdr>
      <w:shd w:val="clear" w:color="000000" w:fill="B6DDE8"/>
      <w:spacing w:before="100" w:beforeAutospacing="1" w:after="100" w:afterAutospacing="1"/>
      <w:jc w:val="left"/>
      <w:textAlignment w:val="center"/>
    </w:pPr>
    <w:rPr>
      <w:b/>
      <w:bCs/>
      <w:sz w:val="24"/>
      <w:szCs w:val="24"/>
      <w:lang w:val="en-US"/>
    </w:rPr>
  </w:style>
  <w:style w:type="paragraph" w:customStyle="1" w:styleId="xl197">
    <w:name w:val="xl197"/>
    <w:basedOn w:val="Normal"/>
    <w:uiPriority w:val="99"/>
    <w:rsid w:val="001B2473"/>
    <w:pPr>
      <w:pBdr>
        <w:left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198">
    <w:name w:val="xl198"/>
    <w:basedOn w:val="Normal"/>
    <w:uiPriority w:val="99"/>
    <w:rsid w:val="001B2473"/>
    <w:pPr>
      <w:pBdr>
        <w:left w:val="single" w:sz="4" w:space="0" w:color="auto"/>
        <w:bottom w:val="single" w:sz="8"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199">
    <w:name w:val="xl199"/>
    <w:basedOn w:val="Normal"/>
    <w:uiPriority w:val="99"/>
    <w:rsid w:val="001B2473"/>
    <w:pPr>
      <w:pBdr>
        <w:top w:val="single" w:sz="4" w:space="0" w:color="auto"/>
        <w:bottom w:val="single" w:sz="4" w:space="0" w:color="auto"/>
      </w:pBdr>
      <w:spacing w:before="100" w:beforeAutospacing="1" w:after="100" w:afterAutospacing="1"/>
      <w:jc w:val="center"/>
      <w:textAlignment w:val="center"/>
    </w:pPr>
    <w:rPr>
      <w:b/>
      <w:bCs/>
      <w:sz w:val="24"/>
      <w:szCs w:val="24"/>
      <w:lang w:val="en-US"/>
    </w:rPr>
  </w:style>
  <w:style w:type="paragraph" w:customStyle="1" w:styleId="xl200">
    <w:name w:val="xl200"/>
    <w:basedOn w:val="Normal"/>
    <w:uiPriority w:val="99"/>
    <w:rsid w:val="001B24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201">
    <w:name w:val="xl201"/>
    <w:basedOn w:val="Normal"/>
    <w:uiPriority w:val="99"/>
    <w:rsid w:val="001B2473"/>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202">
    <w:name w:val="xl202"/>
    <w:basedOn w:val="Normal"/>
    <w:uiPriority w:val="99"/>
    <w:rsid w:val="001B24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val="en-US"/>
    </w:rPr>
  </w:style>
  <w:style w:type="paragraph" w:customStyle="1" w:styleId="xl203">
    <w:name w:val="xl203"/>
    <w:basedOn w:val="Normal"/>
    <w:uiPriority w:val="99"/>
    <w:rsid w:val="001B24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204">
    <w:name w:val="xl204"/>
    <w:basedOn w:val="Normal"/>
    <w:uiPriority w:val="99"/>
    <w:rsid w:val="001B24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205">
    <w:name w:val="xl205"/>
    <w:basedOn w:val="Normal"/>
    <w:uiPriority w:val="99"/>
    <w:rsid w:val="001B2473"/>
    <w:pPr>
      <w:pBdr>
        <w:left w:val="single" w:sz="4" w:space="0" w:color="auto"/>
        <w:bottom w:val="single" w:sz="8" w:space="0" w:color="auto"/>
        <w:right w:val="single" w:sz="4" w:space="0" w:color="auto"/>
      </w:pBdr>
      <w:spacing w:before="100" w:beforeAutospacing="1" w:after="100" w:afterAutospacing="1"/>
      <w:jc w:val="left"/>
    </w:pPr>
    <w:rPr>
      <w:sz w:val="24"/>
      <w:szCs w:val="24"/>
      <w:lang w:val="en-US"/>
    </w:rPr>
  </w:style>
  <w:style w:type="paragraph" w:customStyle="1" w:styleId="xl206">
    <w:name w:val="xl206"/>
    <w:basedOn w:val="Normal"/>
    <w:uiPriority w:val="99"/>
    <w:rsid w:val="001B24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207">
    <w:name w:val="xl207"/>
    <w:basedOn w:val="Normal"/>
    <w:uiPriority w:val="99"/>
    <w:rsid w:val="001B2473"/>
    <w:pPr>
      <w:pBdr>
        <w:left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styleId="Revision">
    <w:name w:val="Revision"/>
    <w:hidden/>
    <w:uiPriority w:val="99"/>
    <w:semiHidden/>
    <w:rsid w:val="001B2473"/>
    <w:rPr>
      <w:rFonts w:ascii="Arial" w:hAnsi="Arial"/>
      <w:sz w:val="22"/>
      <w:lang w:eastAsia="en-US"/>
    </w:rPr>
  </w:style>
  <w:style w:type="paragraph" w:customStyle="1" w:styleId="Default">
    <w:name w:val="Default"/>
    <w:rsid w:val="001B247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1B2473"/>
    <w:pPr>
      <w:spacing w:before="100" w:beforeAutospacing="1" w:after="100" w:afterAutospacing="1"/>
      <w:jc w:val="left"/>
    </w:pPr>
    <w:rPr>
      <w:rFonts w:ascii="Verdana" w:hAnsi="Verdana"/>
      <w:color w:val="000000"/>
      <w:sz w:val="13"/>
      <w:szCs w:val="13"/>
      <w:lang w:eastAsia="en-CA"/>
    </w:rPr>
  </w:style>
  <w:style w:type="paragraph" w:styleId="HTMLPreformatted">
    <w:name w:val="HTML Preformatted"/>
    <w:basedOn w:val="Normal"/>
    <w:link w:val="HTMLPreformattedChar"/>
    <w:uiPriority w:val="99"/>
    <w:rsid w:val="001B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en-CA"/>
    </w:rPr>
  </w:style>
  <w:style w:type="character" w:customStyle="1" w:styleId="HTMLPreformattedChar">
    <w:name w:val="HTML Preformatted Char"/>
    <w:basedOn w:val="DefaultParagraphFont"/>
    <w:link w:val="HTMLPreformatted"/>
    <w:uiPriority w:val="99"/>
    <w:rsid w:val="001B2473"/>
    <w:rPr>
      <w:rFonts w:ascii="Courier New" w:hAnsi="Courier New" w:cs="Courier New"/>
    </w:rPr>
  </w:style>
  <w:style w:type="character" w:styleId="PlaceholderText">
    <w:name w:val="Placeholder Text"/>
    <w:basedOn w:val="DefaultParagraphFont"/>
    <w:uiPriority w:val="99"/>
    <w:semiHidden/>
    <w:rsid w:val="001B2473"/>
    <w:rPr>
      <w:rFonts w:cs="Times New Roman"/>
      <w:color w:val="808080"/>
    </w:rPr>
  </w:style>
  <w:style w:type="numbering" w:customStyle="1" w:styleId="Style2">
    <w:name w:val="Style2"/>
    <w:rsid w:val="001B2473"/>
    <w:pPr>
      <w:numPr>
        <w:numId w:val="18"/>
      </w:numPr>
    </w:pPr>
  </w:style>
  <w:style w:type="paragraph" w:customStyle="1" w:styleId="ReportText">
    <w:name w:val="Report Text"/>
    <w:basedOn w:val="Normal"/>
    <w:qFormat/>
    <w:rsid w:val="00B52676"/>
    <w:pPr>
      <w:spacing w:after="360" w:line="264" w:lineRule="auto"/>
    </w:pPr>
    <w:rPr>
      <w:rFonts w:eastAsia="Calibri"/>
      <w:szCs w:val="22"/>
      <w:lang w:val="en-US"/>
    </w:rPr>
  </w:style>
  <w:style w:type="paragraph" w:customStyle="1" w:styleId="bullet0">
    <w:name w:val="bullet"/>
    <w:basedOn w:val="Normal"/>
    <w:rsid w:val="0070154C"/>
    <w:pPr>
      <w:numPr>
        <w:numId w:val="19"/>
      </w:numPr>
      <w:spacing w:before="80" w:after="80" w:line="276" w:lineRule="auto"/>
      <w:ind w:left="1267"/>
      <w:jc w:val="left"/>
    </w:pPr>
    <w:rPr>
      <w:rFonts w:eastAsiaTheme="minorHAnsi"/>
      <w:szCs w:val="22"/>
      <w:lang w:eastAsia="en-CA"/>
    </w:rPr>
  </w:style>
  <w:style w:type="paragraph" w:customStyle="1" w:styleId="bullet21">
    <w:name w:val="bullet2"/>
    <w:basedOn w:val="BodyText"/>
    <w:rsid w:val="0080530C"/>
    <w:pPr>
      <w:numPr>
        <w:ilvl w:val="1"/>
        <w:numId w:val="24"/>
      </w:numPr>
      <w:spacing w:before="80" w:after="80"/>
      <w:ind w:left="1714"/>
    </w:pPr>
  </w:style>
  <w:style w:type="paragraph" w:customStyle="1" w:styleId="AMECBodyText">
    <w:name w:val="AMEC Body Text"/>
    <w:basedOn w:val="BodyText"/>
    <w:unhideWhenUsed/>
    <w:qFormat/>
    <w:rsid w:val="00B52676"/>
    <w:pPr>
      <w:spacing w:after="240"/>
    </w:pPr>
    <w:rPr>
      <w:rFonts w:asciiTheme="minorHAnsi" w:hAnsiTheme="minorHAnsi" w:cstheme="minorBidi"/>
      <w:lang w:val="en-US"/>
    </w:rPr>
  </w:style>
  <w:style w:type="paragraph" w:customStyle="1" w:styleId="CaptionFigure">
    <w:name w:val="Caption Figure"/>
    <w:basedOn w:val="Paragraph"/>
    <w:rsid w:val="003C34EA"/>
    <w:pPr>
      <w:spacing w:before="40" w:after="0" w:line="276" w:lineRule="auto"/>
      <w:jc w:val="center"/>
    </w:pPr>
    <w:rPr>
      <w:rFonts w:ascii="Shruti" w:hAnsi="Shruti" w:cs="Shruti"/>
      <w:b/>
      <w:sz w:val="20"/>
    </w:rPr>
  </w:style>
  <w:style w:type="paragraph" w:customStyle="1" w:styleId="Figure">
    <w:name w:val="Figure"/>
    <w:basedOn w:val="Normal"/>
    <w:rsid w:val="00590731"/>
    <w:pPr>
      <w:jc w:val="left"/>
    </w:pPr>
    <w:rPr>
      <w:rFonts w:ascii="Shruti" w:hAnsi="Shruti" w:cs="Shruti"/>
      <w:b/>
      <w:sz w:val="20"/>
    </w:rPr>
  </w:style>
  <w:style w:type="paragraph" w:styleId="TOCHeading">
    <w:name w:val="TOC Heading"/>
    <w:basedOn w:val="Heading1"/>
    <w:next w:val="Normal"/>
    <w:uiPriority w:val="39"/>
    <w:semiHidden/>
    <w:unhideWhenUsed/>
    <w:qFormat/>
    <w:rsid w:val="006D134C"/>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paragraph" w:customStyle="1" w:styleId="Paragraph">
    <w:name w:val="Paragraph"/>
    <w:basedOn w:val="Normal"/>
    <w:link w:val="ParagraphChar"/>
    <w:qFormat/>
    <w:rsid w:val="00EA32FA"/>
    <w:pPr>
      <w:tabs>
        <w:tab w:val="left" w:pos="720"/>
      </w:tabs>
      <w:spacing w:after="240" w:line="264" w:lineRule="auto"/>
    </w:pPr>
  </w:style>
  <w:style w:type="character" w:customStyle="1" w:styleId="ParagraphChar">
    <w:name w:val="Paragraph Char"/>
    <w:basedOn w:val="DefaultParagraphFont"/>
    <w:link w:val="Paragraph"/>
    <w:rsid w:val="00EA32FA"/>
    <w:rPr>
      <w:rFonts w:ascii="Arial" w:hAnsi="Arial"/>
      <w:sz w:val="22"/>
      <w:lang w:eastAsia="en-US"/>
    </w:rPr>
  </w:style>
  <w:style w:type="paragraph" w:customStyle="1" w:styleId="BodyText4">
    <w:name w:val="Body Text 4"/>
    <w:basedOn w:val="Normal"/>
    <w:rsid w:val="00B4542C"/>
    <w:pPr>
      <w:spacing w:line="280" w:lineRule="exact"/>
      <w:jc w:val="left"/>
    </w:pPr>
    <w:rPr>
      <w:rFonts w:eastAsiaTheme="minorHAnsi" w:cs="Arial"/>
      <w:sz w:val="20"/>
    </w:rPr>
  </w:style>
  <w:style w:type="character" w:customStyle="1" w:styleId="st">
    <w:name w:val="st"/>
    <w:basedOn w:val="DefaultParagraphFont"/>
    <w:rsid w:val="00B4542C"/>
  </w:style>
  <w:style w:type="paragraph" w:customStyle="1" w:styleId="AppendixHeading">
    <w:name w:val="AppendixHeading"/>
    <w:basedOn w:val="TOCHeading0"/>
    <w:next w:val="BodyText"/>
    <w:rsid w:val="000E2AA1"/>
    <w:pPr>
      <w:spacing w:after="0"/>
      <w:jc w:val="center"/>
    </w:pPr>
    <w:rPr>
      <w:color w:val="auto"/>
      <w:sz w:val="44"/>
      <w:szCs w:val="44"/>
    </w:rPr>
  </w:style>
  <w:style w:type="paragraph" w:customStyle="1" w:styleId="Disclaimer">
    <w:name w:val="Disclaimer"/>
    <w:basedOn w:val="Normal"/>
    <w:rsid w:val="00E14E59"/>
    <w:pPr>
      <w:framePr w:hSpace="187" w:wrap="around" w:hAnchor="margin" w:yAlign="bottom"/>
      <w:jc w:val="left"/>
    </w:pPr>
    <w:rPr>
      <w:spacing w:val="-4"/>
      <w:sz w:val="16"/>
      <w:szCs w:val="18"/>
    </w:rPr>
  </w:style>
  <w:style w:type="paragraph" w:customStyle="1" w:styleId="TOCHeading0">
    <w:name w:val="TOCHeading"/>
    <w:basedOn w:val="Normal"/>
    <w:next w:val="TOCSubHeading"/>
    <w:rsid w:val="00E14E59"/>
    <w:pPr>
      <w:shd w:val="clear" w:color="FFFFFF" w:fill="auto"/>
      <w:spacing w:after="900"/>
      <w:jc w:val="left"/>
    </w:pPr>
    <w:rPr>
      <w:rFonts w:ascii="Arial Bold" w:hAnsi="Arial Bold" w:cs="Arial"/>
      <w:b/>
      <w:bCs/>
      <w:color w:val="00569C"/>
      <w:sz w:val="38"/>
      <w:szCs w:val="24"/>
    </w:rPr>
  </w:style>
  <w:style w:type="paragraph" w:customStyle="1" w:styleId="DocumentType">
    <w:name w:val="DocumentType"/>
    <w:basedOn w:val="Normal"/>
    <w:rsid w:val="00E14E59"/>
    <w:pPr>
      <w:shd w:val="clear" w:color="FFFFFF" w:fill="auto"/>
      <w:jc w:val="left"/>
    </w:pPr>
    <w:rPr>
      <w:rFonts w:ascii="Arial Bold" w:hAnsi="Arial Bold"/>
      <w:b/>
      <w:caps/>
      <w:color w:val="00569C"/>
      <w:sz w:val="40"/>
      <w:szCs w:val="24"/>
    </w:rPr>
  </w:style>
  <w:style w:type="paragraph" w:customStyle="1" w:styleId="AEEXECSUM2">
    <w:name w:val="AE EXECSUM 2"/>
    <w:basedOn w:val="Normal"/>
    <w:next w:val="BodyText"/>
    <w:autoRedefine/>
    <w:rsid w:val="00E14E59"/>
    <w:pPr>
      <w:numPr>
        <w:ilvl w:val="1"/>
        <w:numId w:val="20"/>
      </w:numPr>
      <w:tabs>
        <w:tab w:val="clear" w:pos="1440"/>
        <w:tab w:val="left" w:pos="720"/>
      </w:tabs>
      <w:spacing w:after="240" w:line="280" w:lineRule="exact"/>
      <w:ind w:left="720"/>
      <w:jc w:val="left"/>
    </w:pPr>
    <w:rPr>
      <w:rFonts w:ascii="Arial Bold" w:hAnsi="Arial Bold" w:cs="Arial"/>
      <w:b/>
      <w:bCs/>
      <w:color w:val="00569C"/>
      <w:sz w:val="20"/>
      <w:szCs w:val="24"/>
    </w:rPr>
  </w:style>
  <w:style w:type="paragraph" w:customStyle="1" w:styleId="SectionHeading">
    <w:name w:val="SectionHeading"/>
    <w:basedOn w:val="TOCHeading0"/>
    <w:next w:val="BodyText"/>
    <w:rsid w:val="00E14E59"/>
  </w:style>
  <w:style w:type="paragraph" w:customStyle="1" w:styleId="ClientName">
    <w:name w:val="ClientName"/>
    <w:rsid w:val="00E14E59"/>
    <w:pPr>
      <w:framePr w:wrap="notBeside" w:vAnchor="page" w:hAnchor="page" w:x="3515" w:y="5084" w:anchorLock="1"/>
      <w:shd w:val="solid" w:color="FFFFFF" w:fill="FFFFFF"/>
    </w:pPr>
    <w:rPr>
      <w:rFonts w:ascii="Arial Bold" w:hAnsi="Arial Bold" w:cs="Arial"/>
      <w:bCs/>
      <w:sz w:val="36"/>
      <w:lang w:val="en-US" w:eastAsia="en-US"/>
    </w:rPr>
  </w:style>
  <w:style w:type="character" w:customStyle="1" w:styleId="AEBlue">
    <w:name w:val="AE Blue"/>
    <w:rsid w:val="00E14E59"/>
    <w:rPr>
      <w:rFonts w:ascii="Arial Bold" w:hAnsi="Arial Bold"/>
      <w:b/>
      <w:color w:val="00569C"/>
      <w:u w:color="003DA5"/>
    </w:rPr>
  </w:style>
  <w:style w:type="paragraph" w:customStyle="1" w:styleId="Month">
    <w:name w:val="Month"/>
    <w:rsid w:val="00E14E59"/>
    <w:pPr>
      <w:framePr w:hSpace="187" w:vSpace="187" w:wrap="notBeside" w:vAnchor="page" w:hAnchor="page" w:x="9793" w:y="14876" w:anchorLock="1"/>
      <w:shd w:val="solid" w:color="FFFFFF" w:fill="FFFFFF"/>
      <w:spacing w:line="280" w:lineRule="exact"/>
      <w:jc w:val="right"/>
    </w:pPr>
    <w:rPr>
      <w:rFonts w:ascii="Arial" w:hAnsi="Arial" w:cs="Arial"/>
      <w:b/>
      <w:bCs/>
      <w:lang w:val="en-US" w:eastAsia="en-US"/>
    </w:rPr>
  </w:style>
  <w:style w:type="paragraph" w:customStyle="1" w:styleId="CoverDate">
    <w:name w:val="CoverDate"/>
    <w:basedOn w:val="Normal"/>
    <w:rsid w:val="00E14E59"/>
    <w:pPr>
      <w:spacing w:line="280" w:lineRule="exact"/>
      <w:jc w:val="left"/>
    </w:pPr>
    <w:rPr>
      <w:b/>
      <w:bCs/>
      <w:sz w:val="26"/>
      <w:szCs w:val="24"/>
    </w:rPr>
  </w:style>
  <w:style w:type="paragraph" w:customStyle="1" w:styleId="Year">
    <w:name w:val="Year"/>
    <w:autoRedefine/>
    <w:rsid w:val="00E14E59"/>
    <w:pPr>
      <w:framePr w:w="950" w:hSpace="187" w:vSpace="187" w:wrap="notBeside" w:vAnchor="page" w:hAnchor="page" w:x="9793" w:y="15121" w:anchorLock="1"/>
      <w:shd w:val="solid" w:color="FFFFFF" w:fill="FFFFFF"/>
    </w:pPr>
    <w:rPr>
      <w:rFonts w:ascii="Arial" w:hAnsi="Arial" w:cs="Arial"/>
      <w:b/>
      <w:bCs/>
      <w:lang w:val="en-US" w:eastAsia="en-US"/>
    </w:rPr>
  </w:style>
  <w:style w:type="character" w:customStyle="1" w:styleId="ProjectTitle">
    <w:name w:val="ProjectTitle"/>
    <w:rsid w:val="00E14E59"/>
    <w:rPr>
      <w:rFonts w:ascii="Arial" w:hAnsi="Arial"/>
      <w:b w:val="0"/>
      <w:sz w:val="36"/>
    </w:rPr>
  </w:style>
  <w:style w:type="paragraph" w:customStyle="1" w:styleId="DocTypeHeader">
    <w:name w:val="DocTypeHeader"/>
    <w:basedOn w:val="AEHeader"/>
    <w:rsid w:val="00E14E59"/>
    <w:rPr>
      <w:color w:val="00569C"/>
      <w:sz w:val="32"/>
    </w:rPr>
  </w:style>
  <w:style w:type="paragraph" w:customStyle="1" w:styleId="AEHeader">
    <w:name w:val="AE Header"/>
    <w:basedOn w:val="Normal"/>
    <w:rsid w:val="00E14E59"/>
    <w:pPr>
      <w:tabs>
        <w:tab w:val="right" w:pos="9360"/>
      </w:tabs>
      <w:jc w:val="left"/>
    </w:pPr>
    <w:rPr>
      <w:rFonts w:ascii="Arial Bold" w:hAnsi="Arial Bold"/>
      <w:b/>
      <w:caps/>
      <w:sz w:val="20"/>
      <w:szCs w:val="24"/>
    </w:rPr>
  </w:style>
  <w:style w:type="character" w:customStyle="1" w:styleId="AEGreen">
    <w:name w:val="AE Green"/>
    <w:rsid w:val="00E14E59"/>
    <w:rPr>
      <w:rFonts w:ascii="Arial" w:hAnsi="Arial"/>
      <w:b/>
      <w:color w:val="57B431"/>
      <w:u w:color="57B431"/>
    </w:rPr>
  </w:style>
  <w:style w:type="paragraph" w:customStyle="1" w:styleId="AEFooter">
    <w:name w:val="AEFooter"/>
    <w:basedOn w:val="Footer"/>
    <w:rsid w:val="00E14E59"/>
    <w:pPr>
      <w:jc w:val="left"/>
    </w:pPr>
    <w:rPr>
      <w:rFonts w:cs="Arial"/>
      <w:noProof/>
      <w:sz w:val="12"/>
      <w:szCs w:val="24"/>
    </w:rPr>
  </w:style>
  <w:style w:type="paragraph" w:customStyle="1" w:styleId="AEEXECSUM3">
    <w:name w:val="AE EXECSUM 3"/>
    <w:basedOn w:val="AEEXECSUM2"/>
    <w:next w:val="BodyText"/>
    <w:rsid w:val="00E14E59"/>
    <w:pPr>
      <w:numPr>
        <w:ilvl w:val="2"/>
      </w:numPr>
      <w:tabs>
        <w:tab w:val="clear" w:pos="1080"/>
      </w:tabs>
      <w:ind w:left="720"/>
    </w:pPr>
  </w:style>
  <w:style w:type="paragraph" w:customStyle="1" w:styleId="TOCSubHeading">
    <w:name w:val="TOCSubHeading"/>
    <w:basedOn w:val="Normal"/>
    <w:next w:val="Normal"/>
    <w:rsid w:val="00E14E59"/>
    <w:pPr>
      <w:spacing w:after="280"/>
      <w:jc w:val="left"/>
    </w:pPr>
    <w:rPr>
      <w:rFonts w:ascii="Arial Bold" w:hAnsi="Arial Bold"/>
      <w:b/>
      <w:sz w:val="20"/>
      <w:lang w:val="en-US"/>
    </w:rPr>
  </w:style>
  <w:style w:type="paragraph" w:customStyle="1" w:styleId="DisclaimerHeading">
    <w:name w:val="Disclaimer Heading"/>
    <w:basedOn w:val="Normal"/>
    <w:rsid w:val="00E14E59"/>
    <w:pPr>
      <w:framePr w:hSpace="187" w:wrap="around" w:hAnchor="margin" w:yAlign="bottom"/>
      <w:jc w:val="center"/>
    </w:pPr>
    <w:rPr>
      <w:b/>
      <w:spacing w:val="-4"/>
      <w:sz w:val="16"/>
      <w:szCs w:val="18"/>
    </w:rPr>
  </w:style>
  <w:style w:type="paragraph" w:customStyle="1" w:styleId="ListTinyBullet">
    <w:name w:val="List Tiny Bullet"/>
    <w:basedOn w:val="Normal"/>
    <w:rsid w:val="00E14E59"/>
    <w:pPr>
      <w:numPr>
        <w:numId w:val="21"/>
      </w:numPr>
      <w:jc w:val="left"/>
    </w:pPr>
    <w:rPr>
      <w:sz w:val="20"/>
      <w:szCs w:val="18"/>
    </w:rPr>
  </w:style>
  <w:style w:type="paragraph" w:customStyle="1" w:styleId="ListTinyBullet2">
    <w:name w:val="List Tiny Bullet 2"/>
    <w:basedOn w:val="Normal"/>
    <w:rsid w:val="00E14E59"/>
    <w:pPr>
      <w:numPr>
        <w:ilvl w:val="1"/>
        <w:numId w:val="21"/>
      </w:numPr>
      <w:jc w:val="left"/>
    </w:pPr>
    <w:rPr>
      <w:sz w:val="20"/>
      <w:szCs w:val="18"/>
    </w:rPr>
  </w:style>
  <w:style w:type="paragraph" w:customStyle="1" w:styleId="ListTinyBullet3">
    <w:name w:val="List Tiny Bullet 3"/>
    <w:basedOn w:val="Normal"/>
    <w:rsid w:val="00E14E59"/>
    <w:pPr>
      <w:numPr>
        <w:ilvl w:val="2"/>
        <w:numId w:val="21"/>
      </w:numPr>
      <w:jc w:val="left"/>
    </w:pPr>
    <w:rPr>
      <w:sz w:val="20"/>
      <w:szCs w:val="18"/>
    </w:rPr>
  </w:style>
  <w:style w:type="paragraph" w:customStyle="1" w:styleId="ListTinyBullet4">
    <w:name w:val="List Tiny Bullet 4"/>
    <w:basedOn w:val="Normal"/>
    <w:rsid w:val="00E14E59"/>
    <w:pPr>
      <w:numPr>
        <w:ilvl w:val="3"/>
        <w:numId w:val="21"/>
      </w:numPr>
      <w:jc w:val="left"/>
    </w:pPr>
    <w:rPr>
      <w:sz w:val="20"/>
      <w:szCs w:val="18"/>
    </w:rPr>
  </w:style>
  <w:style w:type="paragraph" w:customStyle="1" w:styleId="ListTinyBullet5">
    <w:name w:val="List Tiny Bullet 5"/>
    <w:basedOn w:val="Normal"/>
    <w:rsid w:val="00E14E59"/>
    <w:pPr>
      <w:numPr>
        <w:ilvl w:val="4"/>
        <w:numId w:val="21"/>
      </w:numPr>
      <w:jc w:val="left"/>
    </w:pPr>
    <w:rPr>
      <w:sz w:val="20"/>
      <w:szCs w:val="18"/>
    </w:rPr>
  </w:style>
  <w:style w:type="paragraph" w:customStyle="1" w:styleId="ListBullet6">
    <w:name w:val="List Bullet 6"/>
    <w:basedOn w:val="Normal"/>
    <w:rsid w:val="00E14E59"/>
    <w:pPr>
      <w:tabs>
        <w:tab w:val="num" w:pos="4320"/>
      </w:tabs>
      <w:spacing w:line="280" w:lineRule="exact"/>
      <w:ind w:left="4320" w:hanging="720"/>
      <w:jc w:val="left"/>
    </w:pPr>
    <w:rPr>
      <w:sz w:val="20"/>
      <w:szCs w:val="24"/>
    </w:rPr>
  </w:style>
  <w:style w:type="paragraph" w:customStyle="1" w:styleId="ListBullet7">
    <w:name w:val="List Bullet 7"/>
    <w:basedOn w:val="Normal"/>
    <w:rsid w:val="00E14E59"/>
    <w:pPr>
      <w:tabs>
        <w:tab w:val="num" w:pos="5040"/>
      </w:tabs>
      <w:spacing w:line="280" w:lineRule="exact"/>
      <w:ind w:left="5040" w:hanging="720"/>
      <w:jc w:val="left"/>
    </w:pPr>
    <w:rPr>
      <w:sz w:val="20"/>
      <w:szCs w:val="24"/>
    </w:rPr>
  </w:style>
  <w:style w:type="paragraph" w:customStyle="1" w:styleId="ListBullet8">
    <w:name w:val="List Bullet 8"/>
    <w:basedOn w:val="Normal"/>
    <w:rsid w:val="00E14E59"/>
    <w:pPr>
      <w:tabs>
        <w:tab w:val="num" w:pos="5760"/>
      </w:tabs>
      <w:spacing w:line="280" w:lineRule="exact"/>
      <w:ind w:left="5760" w:hanging="720"/>
      <w:jc w:val="left"/>
    </w:pPr>
    <w:rPr>
      <w:sz w:val="20"/>
      <w:szCs w:val="24"/>
    </w:rPr>
  </w:style>
  <w:style w:type="paragraph" w:customStyle="1" w:styleId="ListBullet9">
    <w:name w:val="List Bullet 9"/>
    <w:basedOn w:val="Normal"/>
    <w:rsid w:val="00E14E59"/>
    <w:pPr>
      <w:tabs>
        <w:tab w:val="num" w:pos="6480"/>
      </w:tabs>
      <w:spacing w:line="280" w:lineRule="exact"/>
      <w:ind w:left="6480" w:hanging="720"/>
      <w:jc w:val="left"/>
    </w:pPr>
    <w:rPr>
      <w:sz w:val="20"/>
      <w:szCs w:val="24"/>
    </w:rPr>
  </w:style>
  <w:style w:type="paragraph" w:customStyle="1" w:styleId="1TCNormal">
    <w:name w:val="1 TC Normal"/>
    <w:basedOn w:val="BodyText"/>
    <w:link w:val="1TCNormalChar"/>
    <w:qFormat/>
    <w:rsid w:val="00DD517A"/>
    <w:rPr>
      <w:rFonts w:cs="Times New Roman"/>
    </w:rPr>
  </w:style>
  <w:style w:type="character" w:customStyle="1" w:styleId="1TCNormalChar">
    <w:name w:val="1 TC Normal Char"/>
    <w:basedOn w:val="DefaultParagraphFont"/>
    <w:link w:val="1TCNormal"/>
    <w:rsid w:val="00DD517A"/>
    <w:rPr>
      <w:sz w:val="22"/>
      <w:szCs w:val="22"/>
      <w:lang w:eastAsia="en-US"/>
    </w:rPr>
  </w:style>
  <w:style w:type="paragraph" w:customStyle="1" w:styleId="BULLET20">
    <w:name w:val="BULLET 2"/>
    <w:basedOn w:val="Normal"/>
    <w:rsid w:val="00E14E59"/>
    <w:pPr>
      <w:numPr>
        <w:numId w:val="22"/>
      </w:numPr>
      <w:tabs>
        <w:tab w:val="left" w:pos="720"/>
      </w:tabs>
      <w:spacing w:after="140"/>
      <w:ind w:left="1080"/>
    </w:pPr>
    <w:rPr>
      <w:noProof/>
      <w:szCs w:val="22"/>
      <w:lang w:val="en-US"/>
    </w:rPr>
  </w:style>
  <w:style w:type="character" w:customStyle="1" w:styleId="wb-invisible">
    <w:name w:val="wb-invisible"/>
    <w:basedOn w:val="DefaultParagraphFont"/>
    <w:rsid w:val="00E14E59"/>
  </w:style>
  <w:style w:type="character" w:customStyle="1" w:styleId="CaptionChar">
    <w:name w:val="Caption Char"/>
    <w:basedOn w:val="DefaultParagraphFont"/>
    <w:link w:val="Caption"/>
    <w:locked/>
    <w:rsid w:val="00647144"/>
    <w:rPr>
      <w:rFonts w:ascii="Arial" w:hAnsi="Arial"/>
      <w:b/>
      <w:sz w:val="22"/>
      <w:lang w:eastAsia="en-US"/>
    </w:rPr>
  </w:style>
  <w:style w:type="paragraph" w:customStyle="1" w:styleId="Drawing">
    <w:name w:val="Drawing"/>
    <w:basedOn w:val="Figure"/>
    <w:rsid w:val="005A414F"/>
  </w:style>
  <w:style w:type="character" w:customStyle="1" w:styleId="BodyTextChar1">
    <w:name w:val="Body Text Char1"/>
    <w:aliases w:val="Body Text Char Char"/>
    <w:basedOn w:val="DefaultParagraphFont"/>
    <w:rsid w:val="002648BC"/>
    <w:rPr>
      <w:rFonts w:ascii="Arial" w:hAnsi="Arial" w:cs="Arial"/>
      <w:sz w:val="22"/>
      <w:szCs w:val="22"/>
      <w:lang w:eastAsia="en-US"/>
    </w:rPr>
  </w:style>
  <w:style w:type="character" w:customStyle="1" w:styleId="nlmstring-name">
    <w:name w:val="nlm_string-name"/>
    <w:basedOn w:val="DefaultParagraphFont"/>
    <w:rsid w:val="006E02D8"/>
  </w:style>
  <w:style w:type="paragraph" w:customStyle="1" w:styleId="Reference">
    <w:name w:val="Reference"/>
    <w:basedOn w:val="Normal"/>
    <w:rsid w:val="00E32028"/>
    <w:pPr>
      <w:suppressAutoHyphens/>
      <w:spacing w:after="240" w:line="264" w:lineRule="auto"/>
      <w:ind w:left="720" w:hanging="720"/>
      <w:jc w:val="left"/>
    </w:pPr>
    <w:rPr>
      <w:rFonts w:cs="Arial"/>
    </w:rPr>
  </w:style>
  <w:style w:type="paragraph" w:customStyle="1" w:styleId="bullet3">
    <w:name w:val="bullet3"/>
    <w:basedOn w:val="ListParagraph"/>
    <w:rsid w:val="00D063C7"/>
    <w:pPr>
      <w:widowControl/>
      <w:numPr>
        <w:ilvl w:val="2"/>
        <w:numId w:val="23"/>
      </w:numPr>
      <w:spacing w:before="80" w:after="80" w:line="276" w:lineRule="auto"/>
      <w:ind w:left="2232"/>
      <w:contextualSpacing w:val="0"/>
      <w:jc w:val="left"/>
    </w:pPr>
    <w:rPr>
      <w:rFonts w:ascii="Times New Roman" w:hAnsi="Times New Roman"/>
      <w:lang w:val="en-CA"/>
    </w:rPr>
  </w:style>
  <w:style w:type="table" w:styleId="TableElegant">
    <w:name w:val="Table Elegant"/>
    <w:basedOn w:val="TableNormal"/>
    <w:rsid w:val="0007002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181358621">
      <w:bodyDiv w:val="1"/>
      <w:marLeft w:val="0"/>
      <w:marRight w:val="0"/>
      <w:marTop w:val="0"/>
      <w:marBottom w:val="0"/>
      <w:divBdr>
        <w:top w:val="none" w:sz="0" w:space="0" w:color="auto"/>
        <w:left w:val="none" w:sz="0" w:space="0" w:color="auto"/>
        <w:bottom w:val="none" w:sz="0" w:space="0" w:color="auto"/>
        <w:right w:val="none" w:sz="0" w:space="0" w:color="auto"/>
      </w:divBdr>
    </w:div>
    <w:div w:id="463347786">
      <w:bodyDiv w:val="1"/>
      <w:marLeft w:val="0"/>
      <w:marRight w:val="0"/>
      <w:marTop w:val="0"/>
      <w:marBottom w:val="0"/>
      <w:divBdr>
        <w:top w:val="none" w:sz="0" w:space="0" w:color="auto"/>
        <w:left w:val="none" w:sz="0" w:space="0" w:color="auto"/>
        <w:bottom w:val="none" w:sz="0" w:space="0" w:color="auto"/>
        <w:right w:val="none" w:sz="0" w:space="0" w:color="auto"/>
      </w:divBdr>
    </w:div>
    <w:div w:id="475922861">
      <w:bodyDiv w:val="1"/>
      <w:marLeft w:val="0"/>
      <w:marRight w:val="0"/>
      <w:marTop w:val="0"/>
      <w:marBottom w:val="0"/>
      <w:divBdr>
        <w:top w:val="none" w:sz="0" w:space="0" w:color="auto"/>
        <w:left w:val="none" w:sz="0" w:space="0" w:color="auto"/>
        <w:bottom w:val="none" w:sz="0" w:space="0" w:color="auto"/>
        <w:right w:val="none" w:sz="0" w:space="0" w:color="auto"/>
      </w:divBdr>
    </w:div>
    <w:div w:id="519005215">
      <w:bodyDiv w:val="1"/>
      <w:marLeft w:val="0"/>
      <w:marRight w:val="0"/>
      <w:marTop w:val="0"/>
      <w:marBottom w:val="0"/>
      <w:divBdr>
        <w:top w:val="none" w:sz="0" w:space="0" w:color="auto"/>
        <w:left w:val="none" w:sz="0" w:space="0" w:color="auto"/>
        <w:bottom w:val="none" w:sz="0" w:space="0" w:color="auto"/>
        <w:right w:val="none" w:sz="0" w:space="0" w:color="auto"/>
      </w:divBdr>
    </w:div>
    <w:div w:id="621304843">
      <w:bodyDiv w:val="1"/>
      <w:marLeft w:val="0"/>
      <w:marRight w:val="0"/>
      <w:marTop w:val="0"/>
      <w:marBottom w:val="0"/>
      <w:divBdr>
        <w:top w:val="none" w:sz="0" w:space="0" w:color="auto"/>
        <w:left w:val="none" w:sz="0" w:space="0" w:color="auto"/>
        <w:bottom w:val="none" w:sz="0" w:space="0" w:color="auto"/>
        <w:right w:val="none" w:sz="0" w:space="0" w:color="auto"/>
      </w:divBdr>
    </w:div>
    <w:div w:id="824975510">
      <w:bodyDiv w:val="1"/>
      <w:marLeft w:val="0"/>
      <w:marRight w:val="0"/>
      <w:marTop w:val="0"/>
      <w:marBottom w:val="0"/>
      <w:divBdr>
        <w:top w:val="none" w:sz="0" w:space="0" w:color="auto"/>
        <w:left w:val="none" w:sz="0" w:space="0" w:color="auto"/>
        <w:bottom w:val="none" w:sz="0" w:space="0" w:color="auto"/>
        <w:right w:val="none" w:sz="0" w:space="0" w:color="auto"/>
      </w:divBdr>
    </w:div>
    <w:div w:id="853108142">
      <w:bodyDiv w:val="1"/>
      <w:marLeft w:val="0"/>
      <w:marRight w:val="0"/>
      <w:marTop w:val="0"/>
      <w:marBottom w:val="0"/>
      <w:divBdr>
        <w:top w:val="none" w:sz="0" w:space="0" w:color="auto"/>
        <w:left w:val="none" w:sz="0" w:space="0" w:color="auto"/>
        <w:bottom w:val="none" w:sz="0" w:space="0" w:color="auto"/>
        <w:right w:val="none" w:sz="0" w:space="0" w:color="auto"/>
      </w:divBdr>
    </w:div>
    <w:div w:id="977105591">
      <w:bodyDiv w:val="1"/>
      <w:marLeft w:val="0"/>
      <w:marRight w:val="0"/>
      <w:marTop w:val="0"/>
      <w:marBottom w:val="0"/>
      <w:divBdr>
        <w:top w:val="none" w:sz="0" w:space="0" w:color="auto"/>
        <w:left w:val="none" w:sz="0" w:space="0" w:color="auto"/>
        <w:bottom w:val="none" w:sz="0" w:space="0" w:color="auto"/>
        <w:right w:val="none" w:sz="0" w:space="0" w:color="auto"/>
      </w:divBdr>
    </w:div>
    <w:div w:id="1044526070">
      <w:bodyDiv w:val="1"/>
      <w:marLeft w:val="0"/>
      <w:marRight w:val="0"/>
      <w:marTop w:val="0"/>
      <w:marBottom w:val="0"/>
      <w:divBdr>
        <w:top w:val="none" w:sz="0" w:space="0" w:color="auto"/>
        <w:left w:val="none" w:sz="0" w:space="0" w:color="auto"/>
        <w:bottom w:val="none" w:sz="0" w:space="0" w:color="auto"/>
        <w:right w:val="none" w:sz="0" w:space="0" w:color="auto"/>
      </w:divBdr>
    </w:div>
    <w:div w:id="1139569441">
      <w:bodyDiv w:val="1"/>
      <w:marLeft w:val="0"/>
      <w:marRight w:val="0"/>
      <w:marTop w:val="0"/>
      <w:marBottom w:val="0"/>
      <w:divBdr>
        <w:top w:val="none" w:sz="0" w:space="0" w:color="auto"/>
        <w:left w:val="none" w:sz="0" w:space="0" w:color="auto"/>
        <w:bottom w:val="none" w:sz="0" w:space="0" w:color="auto"/>
        <w:right w:val="none" w:sz="0" w:space="0" w:color="auto"/>
      </w:divBdr>
    </w:div>
    <w:div w:id="1233001675">
      <w:bodyDiv w:val="1"/>
      <w:marLeft w:val="0"/>
      <w:marRight w:val="0"/>
      <w:marTop w:val="0"/>
      <w:marBottom w:val="0"/>
      <w:divBdr>
        <w:top w:val="none" w:sz="0" w:space="0" w:color="auto"/>
        <w:left w:val="none" w:sz="0" w:space="0" w:color="auto"/>
        <w:bottom w:val="none" w:sz="0" w:space="0" w:color="auto"/>
        <w:right w:val="none" w:sz="0" w:space="0" w:color="auto"/>
      </w:divBdr>
    </w:div>
    <w:div w:id="1278561762">
      <w:bodyDiv w:val="1"/>
      <w:marLeft w:val="0"/>
      <w:marRight w:val="0"/>
      <w:marTop w:val="0"/>
      <w:marBottom w:val="0"/>
      <w:divBdr>
        <w:top w:val="none" w:sz="0" w:space="0" w:color="auto"/>
        <w:left w:val="none" w:sz="0" w:space="0" w:color="auto"/>
        <w:bottom w:val="none" w:sz="0" w:space="0" w:color="auto"/>
        <w:right w:val="none" w:sz="0" w:space="0" w:color="auto"/>
      </w:divBdr>
    </w:div>
    <w:div w:id="1304120731">
      <w:bodyDiv w:val="1"/>
      <w:marLeft w:val="0"/>
      <w:marRight w:val="0"/>
      <w:marTop w:val="0"/>
      <w:marBottom w:val="0"/>
      <w:divBdr>
        <w:top w:val="none" w:sz="0" w:space="0" w:color="auto"/>
        <w:left w:val="none" w:sz="0" w:space="0" w:color="auto"/>
        <w:bottom w:val="none" w:sz="0" w:space="0" w:color="auto"/>
        <w:right w:val="none" w:sz="0" w:space="0" w:color="auto"/>
      </w:divBdr>
    </w:div>
    <w:div w:id="1321500297">
      <w:bodyDiv w:val="1"/>
      <w:marLeft w:val="0"/>
      <w:marRight w:val="0"/>
      <w:marTop w:val="0"/>
      <w:marBottom w:val="0"/>
      <w:divBdr>
        <w:top w:val="none" w:sz="0" w:space="0" w:color="auto"/>
        <w:left w:val="none" w:sz="0" w:space="0" w:color="auto"/>
        <w:bottom w:val="none" w:sz="0" w:space="0" w:color="auto"/>
        <w:right w:val="none" w:sz="0" w:space="0" w:color="auto"/>
      </w:divBdr>
    </w:div>
    <w:div w:id="1435057530">
      <w:bodyDiv w:val="1"/>
      <w:marLeft w:val="0"/>
      <w:marRight w:val="0"/>
      <w:marTop w:val="0"/>
      <w:marBottom w:val="0"/>
      <w:divBdr>
        <w:top w:val="none" w:sz="0" w:space="0" w:color="auto"/>
        <w:left w:val="none" w:sz="0" w:space="0" w:color="auto"/>
        <w:bottom w:val="none" w:sz="0" w:space="0" w:color="auto"/>
        <w:right w:val="none" w:sz="0" w:space="0" w:color="auto"/>
      </w:divBdr>
    </w:div>
    <w:div w:id="1479804530">
      <w:bodyDiv w:val="1"/>
      <w:marLeft w:val="0"/>
      <w:marRight w:val="0"/>
      <w:marTop w:val="0"/>
      <w:marBottom w:val="0"/>
      <w:divBdr>
        <w:top w:val="none" w:sz="0" w:space="0" w:color="auto"/>
        <w:left w:val="none" w:sz="0" w:space="0" w:color="auto"/>
        <w:bottom w:val="none" w:sz="0" w:space="0" w:color="auto"/>
        <w:right w:val="none" w:sz="0" w:space="0" w:color="auto"/>
      </w:divBdr>
    </w:div>
    <w:div w:id="1565799230">
      <w:bodyDiv w:val="1"/>
      <w:marLeft w:val="0"/>
      <w:marRight w:val="0"/>
      <w:marTop w:val="0"/>
      <w:marBottom w:val="0"/>
      <w:divBdr>
        <w:top w:val="none" w:sz="0" w:space="0" w:color="auto"/>
        <w:left w:val="none" w:sz="0" w:space="0" w:color="auto"/>
        <w:bottom w:val="none" w:sz="0" w:space="0" w:color="auto"/>
        <w:right w:val="none" w:sz="0" w:space="0" w:color="auto"/>
      </w:divBdr>
    </w:div>
    <w:div w:id="1726638482">
      <w:bodyDiv w:val="1"/>
      <w:marLeft w:val="0"/>
      <w:marRight w:val="0"/>
      <w:marTop w:val="0"/>
      <w:marBottom w:val="0"/>
      <w:divBdr>
        <w:top w:val="none" w:sz="0" w:space="0" w:color="auto"/>
        <w:left w:val="none" w:sz="0" w:space="0" w:color="auto"/>
        <w:bottom w:val="none" w:sz="0" w:space="0" w:color="auto"/>
        <w:right w:val="none" w:sz="0" w:space="0" w:color="auto"/>
      </w:divBdr>
    </w:div>
    <w:div w:id="1828746902">
      <w:bodyDiv w:val="1"/>
      <w:marLeft w:val="0"/>
      <w:marRight w:val="0"/>
      <w:marTop w:val="0"/>
      <w:marBottom w:val="0"/>
      <w:divBdr>
        <w:top w:val="none" w:sz="0" w:space="0" w:color="auto"/>
        <w:left w:val="none" w:sz="0" w:space="0" w:color="auto"/>
        <w:bottom w:val="none" w:sz="0" w:space="0" w:color="auto"/>
        <w:right w:val="none" w:sz="0" w:space="0" w:color="auto"/>
      </w:divBdr>
    </w:div>
    <w:div w:id="1879583445">
      <w:bodyDiv w:val="1"/>
      <w:marLeft w:val="0"/>
      <w:marRight w:val="0"/>
      <w:marTop w:val="0"/>
      <w:marBottom w:val="0"/>
      <w:divBdr>
        <w:top w:val="none" w:sz="0" w:space="0" w:color="auto"/>
        <w:left w:val="none" w:sz="0" w:space="0" w:color="auto"/>
        <w:bottom w:val="none" w:sz="0" w:space="0" w:color="auto"/>
        <w:right w:val="none" w:sz="0" w:space="0" w:color="auto"/>
      </w:divBdr>
    </w:div>
    <w:div w:id="1887063122">
      <w:bodyDiv w:val="1"/>
      <w:marLeft w:val="0"/>
      <w:marRight w:val="0"/>
      <w:marTop w:val="0"/>
      <w:marBottom w:val="0"/>
      <w:divBdr>
        <w:top w:val="none" w:sz="0" w:space="0" w:color="auto"/>
        <w:left w:val="none" w:sz="0" w:space="0" w:color="auto"/>
        <w:bottom w:val="none" w:sz="0" w:space="0" w:color="auto"/>
        <w:right w:val="none" w:sz="0" w:space="0" w:color="auto"/>
      </w:divBdr>
    </w:div>
    <w:div w:id="1926260014">
      <w:bodyDiv w:val="1"/>
      <w:marLeft w:val="0"/>
      <w:marRight w:val="0"/>
      <w:marTop w:val="0"/>
      <w:marBottom w:val="0"/>
      <w:divBdr>
        <w:top w:val="none" w:sz="0" w:space="0" w:color="auto"/>
        <w:left w:val="none" w:sz="0" w:space="0" w:color="auto"/>
        <w:bottom w:val="none" w:sz="0" w:space="0" w:color="auto"/>
        <w:right w:val="none" w:sz="0" w:space="0" w:color="auto"/>
      </w:divBdr>
    </w:div>
    <w:div w:id="2087611040">
      <w:bodyDiv w:val="1"/>
      <w:marLeft w:val="0"/>
      <w:marRight w:val="0"/>
      <w:marTop w:val="0"/>
      <w:marBottom w:val="0"/>
      <w:divBdr>
        <w:top w:val="none" w:sz="0" w:space="0" w:color="auto"/>
        <w:left w:val="none" w:sz="0" w:space="0" w:color="auto"/>
        <w:bottom w:val="none" w:sz="0" w:space="0" w:color="auto"/>
        <w:right w:val="none" w:sz="0" w:space="0" w:color="auto"/>
      </w:divBdr>
    </w:div>
    <w:div w:id="208799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77F50E19EAE54D46919A29A2FCD7C09E" ma:contentTypeVersion="0" ma:contentTypeDescription="Create a new document." ma:contentTypeScope="" ma:versionID="c86bd1b4bd9ca60b64034d8b86c74a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3DB18-991D-4C69-AFC2-338B96D38310}"/>
</file>

<file path=customXml/itemProps2.xml><?xml version="1.0" encoding="utf-8"?>
<ds:datastoreItem xmlns:ds="http://schemas.openxmlformats.org/officeDocument/2006/customXml" ds:itemID="{8797476C-FFF3-4CB0-A8A1-130EE7747589}"/>
</file>

<file path=customXml/itemProps3.xml><?xml version="1.0" encoding="utf-8"?>
<ds:datastoreItem xmlns:ds="http://schemas.openxmlformats.org/officeDocument/2006/customXml" ds:itemID="{1B5D71C0-3F5A-4B9C-8299-DBFB41271008}"/>
</file>

<file path=customXml/itemProps4.xml><?xml version="1.0" encoding="utf-8"?>
<ds:datastoreItem xmlns:ds="http://schemas.openxmlformats.org/officeDocument/2006/customXml" ds:itemID="{FB4E5004-86B0-45DA-930F-76EB7E89B380}"/>
</file>

<file path=customXml/itemProps5.xml><?xml version="1.0" encoding="utf-8"?>
<ds:datastoreItem xmlns:ds="http://schemas.openxmlformats.org/officeDocument/2006/customXml" ds:itemID="{2EF70B37-43E6-4104-B7EF-032143B44326}"/>
</file>

<file path=customXml/itemProps6.xml><?xml version="1.0" encoding="utf-8"?>
<ds:datastoreItem xmlns:ds="http://schemas.openxmlformats.org/officeDocument/2006/customXml" ds:itemID="{D6C36136-FE8F-4140-A978-EA3327EF3F7D}"/>
</file>

<file path=customXml/itemProps7.xml><?xml version="1.0" encoding="utf-8"?>
<ds:datastoreItem xmlns:ds="http://schemas.openxmlformats.org/officeDocument/2006/customXml" ds:itemID="{706D0F61-354E-40D1-A79D-B054B6F693D9}"/>
</file>

<file path=customXml/itemProps8.xml><?xml version="1.0" encoding="utf-8"?>
<ds:datastoreItem xmlns:ds="http://schemas.openxmlformats.org/officeDocument/2006/customXml" ds:itemID="{F9CFD97C-8BA9-4DDF-8AC3-4F3D9F446A86}"/>
</file>

<file path=customXml/itemProps9.xml><?xml version="1.0" encoding="utf-8"?>
<ds:datastoreItem xmlns:ds="http://schemas.openxmlformats.org/officeDocument/2006/customXml" ds:itemID="{5B6055FD-6F19-4D93-A91B-700CACC5B937}"/>
</file>

<file path=docProps/app.xml><?xml version="1.0" encoding="utf-8"?>
<Properties xmlns="http://schemas.openxmlformats.org/officeDocument/2006/extended-properties" xmlns:vt="http://schemas.openxmlformats.org/officeDocument/2006/docPropsVTypes">
  <Template>B4C923FB.dotm</Template>
  <TotalTime>57</TotalTime>
  <Pages>50</Pages>
  <Words>13568</Words>
  <Characters>81172</Characters>
  <Application>Microsoft Office Word</Application>
  <DocSecurity>0</DocSecurity>
  <Lines>676</Lines>
  <Paragraphs>189</Paragraphs>
  <ScaleCrop>false</ScaleCrop>
  <HeadingPairs>
    <vt:vector size="2" baseType="variant">
      <vt:variant>
        <vt:lpstr>Title</vt:lpstr>
      </vt:variant>
      <vt:variant>
        <vt:i4>1</vt:i4>
      </vt:variant>
    </vt:vector>
  </HeadingPairs>
  <TitlesOfParts>
    <vt:vector size="1" baseType="lpstr">
      <vt:lpstr>AMEC Report Template</vt:lpstr>
    </vt:vector>
  </TitlesOfParts>
  <Company>RCN Consulting</Company>
  <LinksUpToDate>false</LinksUpToDate>
  <CharactersWithSpaces>94551</CharactersWithSpaces>
  <SharedDoc>false</SharedDoc>
  <HLinks>
    <vt:vector size="18" baseType="variant">
      <vt:variant>
        <vt:i4>1048628</vt:i4>
      </vt:variant>
      <vt:variant>
        <vt:i4>28</vt:i4>
      </vt:variant>
      <vt:variant>
        <vt:i4>0</vt:i4>
      </vt:variant>
      <vt:variant>
        <vt:i4>5</vt:i4>
      </vt:variant>
      <vt:variant>
        <vt:lpwstr/>
      </vt:variant>
      <vt:variant>
        <vt:lpwstr>_Toc526575052</vt:lpwstr>
      </vt:variant>
      <vt:variant>
        <vt:i4>1048628</vt:i4>
      </vt:variant>
      <vt:variant>
        <vt:i4>22</vt:i4>
      </vt:variant>
      <vt:variant>
        <vt:i4>0</vt:i4>
      </vt:variant>
      <vt:variant>
        <vt:i4>5</vt:i4>
      </vt:variant>
      <vt:variant>
        <vt:lpwstr/>
      </vt:variant>
      <vt:variant>
        <vt:lpwstr>_Toc526575051</vt:lpwstr>
      </vt:variant>
      <vt:variant>
        <vt:i4>1048628</vt:i4>
      </vt:variant>
      <vt:variant>
        <vt:i4>16</vt:i4>
      </vt:variant>
      <vt:variant>
        <vt:i4>0</vt:i4>
      </vt:variant>
      <vt:variant>
        <vt:i4>5</vt:i4>
      </vt:variant>
      <vt:variant>
        <vt:lpwstr/>
      </vt:variant>
      <vt:variant>
        <vt:lpwstr>_Toc526575050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AMEC Report Template</dc:title>
  <dc:creator>Johanna Reyes</dc:creator>
  <dc:description>For support contact:_x000d_
604.444.4277 or_x000d_
rcnconsulting@telus.net</dc:description>
  <cp:lastModifiedBy>Mcfadyen, Joyce</cp:lastModifiedBy>
  <cp:revision>4</cp:revision>
  <cp:lastPrinted>2014-12-17T22:59:00Z</cp:lastPrinted>
  <dcterms:created xsi:type="dcterms:W3CDTF">2014-12-16T23:35:00Z</dcterms:created>
  <dcterms:modified xsi:type="dcterms:W3CDTF">2014-12-17T23:30:00Z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0x01010077F50E19EAE54D46919A29A2FCD7C09E</vt:lpwstr>
  </property>
</Properties>
</file>