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42209" w14:textId="77777777" w:rsidR="003469F0" w:rsidRDefault="00F34E82" w:rsidP="003469F0">
      <w:pPr>
        <w:pStyle w:val="Heading1"/>
        <w:jc w:val="center"/>
      </w:pPr>
      <w:r w:rsidRPr="00651722">
        <w:t>Appendix A</w:t>
      </w:r>
      <w:r>
        <w:t xml:space="preserve"> Metadata</w:t>
      </w:r>
    </w:p>
    <w:p w14:paraId="011AB280" w14:textId="77777777" w:rsidR="00227AC3" w:rsidRPr="00651722" w:rsidRDefault="00227AC3" w:rsidP="003469F0">
      <w:pPr>
        <w:pStyle w:val="Heading1"/>
      </w:pPr>
      <w:r w:rsidRPr="00651722">
        <w:t>Project and Sample Metadata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3685"/>
        <w:gridCol w:w="5135"/>
        <w:gridCol w:w="5125"/>
      </w:tblGrid>
      <w:tr w:rsidR="00D90BB0" w14:paraId="7B1EE02C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783E9C75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Geologist Name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15052B0B" w14:textId="5DD94852" w:rsidR="00D90BB0" w:rsidRPr="009A45B4" w:rsidRDefault="000E6F6D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content</w:t>
            </w:r>
          </w:p>
        </w:tc>
        <w:tc>
          <w:tcPr>
            <w:tcW w:w="5125" w:type="dxa"/>
          </w:tcPr>
          <w:p w14:paraId="025111A7" w14:textId="6D82730B" w:rsidR="00D90BB0" w:rsidRPr="00131F35" w:rsidRDefault="004F5FDF" w:rsidP="00B9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M.W. McCurdy</w:t>
            </w:r>
          </w:p>
        </w:tc>
      </w:tr>
      <w:tr w:rsidR="00D90BB0" w14:paraId="58B1A62C" w14:textId="77777777" w:rsidTr="00B3188A">
        <w:trPr>
          <w:trHeight w:val="395"/>
        </w:trPr>
        <w:tc>
          <w:tcPr>
            <w:tcW w:w="3685" w:type="dxa"/>
            <w:shd w:val="clear" w:color="auto" w:fill="DEEAF6" w:themeFill="accent1" w:themeFillTint="33"/>
          </w:tcPr>
          <w:p w14:paraId="6A8AF424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Province/Territory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6FC4F918" w14:textId="77777777" w:rsidR="00D90BB0" w:rsidRPr="009A45B4" w:rsidRDefault="00D90BB0" w:rsidP="00D90BB0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</w:tcPr>
          <w:p w14:paraId="7294FCC2" w14:textId="1A1F82F0" w:rsidR="00D90BB0" w:rsidRPr="00131F35" w:rsidRDefault="004F5FD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Yukon Territory</w:t>
            </w:r>
          </w:p>
        </w:tc>
      </w:tr>
      <w:tr w:rsidR="00D90BB0" w14:paraId="170F4DEF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3240BE07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Project Name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78C6D66D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or the activity within a larger project</w:t>
            </w:r>
          </w:p>
        </w:tc>
        <w:tc>
          <w:tcPr>
            <w:tcW w:w="5125" w:type="dxa"/>
          </w:tcPr>
          <w:p w14:paraId="7F1D032A" w14:textId="30B30DD5" w:rsidR="00D90BB0" w:rsidRPr="00131F35" w:rsidRDefault="00BB081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Porphyry-related mineral systems; Mineral markers of porphyry processes P-3.3 Mineralogical controls on the fertility of porphyry-style systems</w:t>
            </w:r>
          </w:p>
        </w:tc>
      </w:tr>
      <w:tr w:rsidR="00D90BB0" w14:paraId="2966F822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412D7E0D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Funding Source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0949835B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GEM-2, TGI-5</w:t>
            </w:r>
          </w:p>
        </w:tc>
        <w:tc>
          <w:tcPr>
            <w:tcW w:w="5125" w:type="dxa"/>
          </w:tcPr>
          <w:p w14:paraId="6440EA3C" w14:textId="0B7FFB8F" w:rsidR="00D90BB0" w:rsidRPr="00131F35" w:rsidRDefault="004F5FD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TGI-5</w:t>
            </w:r>
          </w:p>
        </w:tc>
      </w:tr>
      <w:tr w:rsidR="00D90BB0" w14:paraId="2672F8F5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6E49FF40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Datum for sample location coordinates 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27D21E5B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NAD83</w:t>
            </w:r>
          </w:p>
        </w:tc>
        <w:tc>
          <w:tcPr>
            <w:tcW w:w="5125" w:type="dxa"/>
          </w:tcPr>
          <w:p w14:paraId="42E3564F" w14:textId="203BF5C2" w:rsidR="00D90BB0" w:rsidRPr="00131F35" w:rsidRDefault="004F5FD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NAD83</w:t>
            </w:r>
          </w:p>
        </w:tc>
      </w:tr>
      <w:tr w:rsidR="00D90BB0" w14:paraId="7AA2D67A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23C583D5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Context of current work as it relates to earlier or ongoing work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6B5F3806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e.g. </w:t>
            </w:r>
            <w:r w:rsidR="00951710">
              <w:rPr>
                <w:sz w:val="20"/>
                <w:szCs w:val="20"/>
              </w:rPr>
              <w:t xml:space="preserve">i) </w:t>
            </w:r>
            <w:r w:rsidRPr="009A45B4">
              <w:rPr>
                <w:sz w:val="20"/>
                <w:szCs w:val="20"/>
              </w:rPr>
              <w:t>are these samples part of a larger dataset that was already collected? or</w:t>
            </w:r>
          </w:p>
          <w:p w14:paraId="3EF5407B" w14:textId="77777777" w:rsidR="00D90BB0" w:rsidRPr="009A45B4" w:rsidRDefault="00951710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ii) </w:t>
            </w:r>
            <w:r w:rsidR="00D90BB0" w:rsidRPr="009A45B4">
              <w:rPr>
                <w:sz w:val="20"/>
                <w:szCs w:val="20"/>
              </w:rPr>
              <w:t>are these samples part of a data set that will grow as more samples are collected? or</w:t>
            </w:r>
          </w:p>
          <w:p w14:paraId="61B783BA" w14:textId="77777777" w:rsidR="00D90BB0" w:rsidRPr="009A45B4" w:rsidRDefault="00951710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iii) </w:t>
            </w:r>
            <w:r w:rsidR="00D90BB0" w:rsidRPr="009A45B4">
              <w:rPr>
                <w:sz w:val="20"/>
                <w:szCs w:val="20"/>
              </w:rPr>
              <w:t>are these reanalyses? or</w:t>
            </w:r>
          </w:p>
          <w:p w14:paraId="584556A1" w14:textId="77777777" w:rsidR="00D90BB0" w:rsidRPr="009A45B4" w:rsidRDefault="00951710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iv) </w:t>
            </w:r>
            <w:r w:rsidR="00D90BB0" w:rsidRPr="009A45B4">
              <w:rPr>
                <w:sz w:val="20"/>
                <w:szCs w:val="20"/>
              </w:rPr>
              <w:t>other?</w:t>
            </w:r>
          </w:p>
          <w:p w14:paraId="77193314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4808AA">
              <w:rPr>
                <w:sz w:val="20"/>
                <w:szCs w:val="20"/>
              </w:rPr>
              <w:t>List references to earlier publications</w:t>
            </w:r>
          </w:p>
        </w:tc>
        <w:tc>
          <w:tcPr>
            <w:tcW w:w="5125" w:type="dxa"/>
          </w:tcPr>
          <w:p w14:paraId="23FC8B3B" w14:textId="77777777" w:rsidR="00D90BB0" w:rsidRDefault="00BB081F" w:rsidP="001C0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Samples were part of a suite of sample media (silt, water, HMC, pebble) collected in 2017</w:t>
            </w:r>
            <w:r w:rsidR="00460F6A">
              <w:rPr>
                <w:sz w:val="20"/>
                <w:szCs w:val="20"/>
              </w:rPr>
              <w:t>.</w:t>
            </w:r>
          </w:p>
          <w:p w14:paraId="11C80EE2" w14:textId="77777777" w:rsidR="00535F91" w:rsidRDefault="00535F91" w:rsidP="001C076C">
            <w:pPr>
              <w:rPr>
                <w:sz w:val="20"/>
                <w:szCs w:val="20"/>
              </w:rPr>
            </w:pPr>
          </w:p>
          <w:p w14:paraId="1CC9893E" w14:textId="5CD060E0" w:rsidR="00535F91" w:rsidRPr="00131F35" w:rsidRDefault="00535F91" w:rsidP="001C0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OF is an update to the geochemical dataset published in OF 6832.</w:t>
            </w:r>
          </w:p>
        </w:tc>
      </w:tr>
      <w:tr w:rsidR="00D90BB0" w14:paraId="5E75BC1D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540B070C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Supporting publications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461A3399" w14:textId="213D4F50" w:rsidR="00535F91" w:rsidRPr="009A45B4" w:rsidRDefault="00D90BB0" w:rsidP="00535F91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if background work is published elsewhere, identify the source in current publication (*note: full reference is not necessary, as long as it clearly identifies the publication </w:t>
            </w:r>
          </w:p>
          <w:p w14:paraId="05B3102A" w14:textId="07F82C70" w:rsidR="00D90BB0" w:rsidRPr="009A45B4" w:rsidRDefault="00D90BB0" w:rsidP="00D90BB0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</w:tcPr>
          <w:p w14:paraId="417FCA03" w14:textId="4FD6FF6A" w:rsidR="00D90BB0" w:rsidRPr="00131F35" w:rsidRDefault="00460F6A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GSC OF 8549 p. 333-344</w:t>
            </w:r>
          </w:p>
        </w:tc>
      </w:tr>
      <w:tr w:rsidR="00D90BB0" w14:paraId="4B1DF1F2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65BE9B5F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Sampling access method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5C5B687F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truck-based, helicopter etc.</w:t>
            </w:r>
          </w:p>
        </w:tc>
        <w:tc>
          <w:tcPr>
            <w:tcW w:w="5125" w:type="dxa"/>
          </w:tcPr>
          <w:p w14:paraId="39C4B9F0" w14:textId="6283D5A0" w:rsidR="00D90BB0" w:rsidRPr="00131F35" w:rsidRDefault="004F5FD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Truck, ATV, helicopter</w:t>
            </w:r>
          </w:p>
        </w:tc>
      </w:tr>
      <w:tr w:rsidR="00D90BB0" w14:paraId="04429487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56D7AEE0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Sampling Design/Pattern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2B5C98AC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grid, lines, random, drainage, lake, road network, case study around deposit etc.</w:t>
            </w:r>
          </w:p>
        </w:tc>
        <w:tc>
          <w:tcPr>
            <w:tcW w:w="5125" w:type="dxa"/>
          </w:tcPr>
          <w:p w14:paraId="1A59DB66" w14:textId="0490F1AF" w:rsidR="00D90BB0" w:rsidRPr="00131F35" w:rsidRDefault="004F5FDF" w:rsidP="008E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First- and second-order streams around deposit</w:t>
            </w:r>
          </w:p>
        </w:tc>
      </w:tr>
      <w:tr w:rsidR="00D90BB0" w14:paraId="7BCE5EAE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0948A290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Sample Medium/Media </w:t>
            </w:r>
          </w:p>
          <w:p w14:paraId="42912589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Number of samples for each medium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5559CD96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e.g., 200 till, 5 esker, 3 beach sand</w:t>
            </w:r>
          </w:p>
        </w:tc>
        <w:tc>
          <w:tcPr>
            <w:tcW w:w="5125" w:type="dxa"/>
          </w:tcPr>
          <w:p w14:paraId="7130E502" w14:textId="6CD6C13C" w:rsidR="00D90BB0" w:rsidRPr="00131F35" w:rsidRDefault="00460F6A" w:rsidP="00460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stream</w:t>
            </w:r>
            <w:r w:rsidR="0047333F">
              <w:rPr>
                <w:sz w:val="20"/>
                <w:szCs w:val="20"/>
              </w:rPr>
              <w:t xml:space="preserve"> sediment (&lt;0.177 mm fraction)</w:t>
            </w:r>
          </w:p>
        </w:tc>
      </w:tr>
      <w:tr w:rsidR="00D90BB0" w14:paraId="76341993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37133B36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Sample density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77D36626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X samples /km</w:t>
            </w:r>
            <w:r w:rsidRPr="009A45B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25" w:type="dxa"/>
            <w:shd w:val="clear" w:color="auto" w:fill="auto"/>
          </w:tcPr>
          <w:p w14:paraId="0402B05A" w14:textId="074F09D1" w:rsidR="00D90BB0" w:rsidRPr="00131F35" w:rsidRDefault="0047333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sample / 45 km</w:t>
            </w:r>
            <w:r w:rsidRPr="0047333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90BB0" w14:paraId="4097AE61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47C61509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Sample collection date range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1521E532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Day/Month/Year to </w:t>
            </w:r>
          </w:p>
          <w:p w14:paraId="50626A5B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Day/Month/Year</w:t>
            </w:r>
          </w:p>
        </w:tc>
        <w:tc>
          <w:tcPr>
            <w:tcW w:w="5125" w:type="dxa"/>
          </w:tcPr>
          <w:p w14:paraId="6A9711ED" w14:textId="0DB5BACD" w:rsidR="00D90BB0" w:rsidRPr="00131F35" w:rsidRDefault="0047333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06/09/2017 to 10/09/2017</w:t>
            </w:r>
          </w:p>
        </w:tc>
      </w:tr>
    </w:tbl>
    <w:p w14:paraId="16098DB1" w14:textId="77777777" w:rsidR="004D7C49" w:rsidRDefault="004D7C49"/>
    <w:p w14:paraId="078D7999" w14:textId="77777777" w:rsidR="00F1039D" w:rsidRDefault="00F1039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7EA232" w14:textId="77777777" w:rsidR="00227AC3" w:rsidRPr="00651722" w:rsidRDefault="00227AC3" w:rsidP="009F1BEF">
      <w:pPr>
        <w:pStyle w:val="Heading1"/>
      </w:pPr>
      <w:r w:rsidRPr="00651722">
        <w:lastRenderedPageBreak/>
        <w:t>Sample Preparation Metadata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2065"/>
        <w:gridCol w:w="1530"/>
        <w:gridCol w:w="1440"/>
        <w:gridCol w:w="1350"/>
        <w:gridCol w:w="2255"/>
        <w:gridCol w:w="1710"/>
        <w:gridCol w:w="2065"/>
        <w:gridCol w:w="1800"/>
      </w:tblGrid>
      <w:tr w:rsidR="00451389" w:rsidRPr="0099184D" w14:paraId="5514BAD1" w14:textId="77777777" w:rsidTr="00B3188A">
        <w:tc>
          <w:tcPr>
            <w:tcW w:w="20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A213A2B" w14:textId="77777777" w:rsidR="004A6212" w:rsidRPr="00904C80" w:rsidRDefault="004A6212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Lab Name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7C173F1" w14:textId="77777777" w:rsidR="004A6212" w:rsidRPr="00904C80" w:rsidRDefault="004A6212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Work Order# or Certificate Name (usually a number)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89A2BD" w14:textId="77777777" w:rsidR="004A6212" w:rsidRPr="00904C80" w:rsidRDefault="004A6212" w:rsidP="003B3A10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Screening – mesh size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23523BA" w14:textId="77777777" w:rsidR="004A6212" w:rsidRPr="00904C80" w:rsidRDefault="004A6212" w:rsidP="00622A23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Screening – Wentworth scale grain size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BA83BCF" w14:textId="77777777" w:rsidR="004A6212" w:rsidRPr="00904C80" w:rsidRDefault="00622A23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Methodology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00B589C" w14:textId="77777777" w:rsidR="004A6212" w:rsidRPr="00904C80" w:rsidRDefault="00622A23" w:rsidP="00622A23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Number of Samples Prepared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E530C13" w14:textId="77777777" w:rsidR="004A6212" w:rsidRPr="00904C80" w:rsidRDefault="00622A23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Published Reference(s) for </w:t>
            </w:r>
            <w:r w:rsidR="00740493" w:rsidRPr="00904C80">
              <w:rPr>
                <w:sz w:val="18"/>
                <w:szCs w:val="18"/>
              </w:rPr>
              <w:t>the</w:t>
            </w:r>
            <w:r w:rsidRPr="00904C80">
              <w:rPr>
                <w:sz w:val="18"/>
                <w:szCs w:val="18"/>
              </w:rPr>
              <w:t xml:space="preserve"> Preparation Techniques Used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02FF9A" w14:textId="77777777" w:rsidR="004A6212" w:rsidRPr="00B3188A" w:rsidRDefault="00622A23" w:rsidP="003B3A10">
            <w:pPr>
              <w:pStyle w:val="NoSpacing"/>
              <w:rPr>
                <w:sz w:val="16"/>
                <w:szCs w:val="18"/>
                <w:lang w:val="fr-CA"/>
              </w:rPr>
            </w:pPr>
            <w:r w:rsidRPr="00B3188A">
              <w:rPr>
                <w:sz w:val="16"/>
                <w:szCs w:val="18"/>
                <w:lang w:val="fr-CA"/>
              </w:rPr>
              <w:t xml:space="preserve">Commercial </w:t>
            </w:r>
            <w:proofErr w:type="spellStart"/>
            <w:r w:rsidRPr="00B3188A">
              <w:rPr>
                <w:sz w:val="16"/>
                <w:szCs w:val="18"/>
                <w:lang w:val="fr-CA"/>
              </w:rPr>
              <w:t>Lab</w:t>
            </w:r>
            <w:proofErr w:type="spellEnd"/>
            <w:r w:rsidRPr="00B3188A">
              <w:rPr>
                <w:sz w:val="16"/>
                <w:szCs w:val="18"/>
                <w:lang w:val="fr-CA"/>
              </w:rPr>
              <w:t xml:space="preserve"> </w:t>
            </w:r>
            <w:proofErr w:type="spellStart"/>
            <w:r w:rsidRPr="00B3188A">
              <w:rPr>
                <w:sz w:val="16"/>
                <w:szCs w:val="18"/>
                <w:lang w:val="fr-CA"/>
              </w:rPr>
              <w:t>Preparation</w:t>
            </w:r>
            <w:proofErr w:type="spellEnd"/>
            <w:r w:rsidRPr="00B3188A">
              <w:rPr>
                <w:sz w:val="16"/>
                <w:szCs w:val="18"/>
                <w:lang w:val="fr-CA"/>
              </w:rPr>
              <w:t xml:space="preserve"> Package Code</w:t>
            </w:r>
          </w:p>
        </w:tc>
      </w:tr>
      <w:tr w:rsidR="00451389" w14:paraId="507444E1" w14:textId="77777777" w:rsidTr="00B3188A">
        <w:tc>
          <w:tcPr>
            <w:tcW w:w="2065" w:type="dxa"/>
            <w:shd w:val="clear" w:color="auto" w:fill="D9D9D9" w:themeFill="background1" w:themeFillShade="D9"/>
          </w:tcPr>
          <w:p w14:paraId="174FD824" w14:textId="77777777" w:rsidR="001116F1" w:rsidRPr="00904C80" w:rsidRDefault="001116F1" w:rsidP="001116F1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lab used for sample preparation e.g. GSC Sed lab or external lab; include city and country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D23AC5A" w14:textId="77777777" w:rsidR="001116F1" w:rsidRPr="00904C80" w:rsidRDefault="001116F1" w:rsidP="004A6212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as assigned by the preparation lab, if it exists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C97D948" w14:textId="77777777" w:rsidR="001116F1" w:rsidRPr="00904C80" w:rsidRDefault="001116F1" w:rsidP="003B3A10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-250 mesh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87757E1" w14:textId="77777777" w:rsidR="001116F1" w:rsidRPr="00904C80" w:rsidRDefault="001116F1" w:rsidP="004A6212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&lt;0.063 mm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5731978" w14:textId="77777777" w:rsidR="001116F1" w:rsidRPr="00904C80" w:rsidRDefault="001116F1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describe sample preparation methodology in as much detail as possible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BA4FC6B" w14:textId="77777777" w:rsidR="001116F1" w:rsidRPr="00904C80" w:rsidRDefault="00E9781D" w:rsidP="008E6D2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the number of samples prepared (can be different from the number collected)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437456F5" w14:textId="77777777" w:rsidR="001116F1" w:rsidRPr="00904C80" w:rsidRDefault="001116F1" w:rsidP="00622A23">
            <w:pPr>
              <w:rPr>
                <w:sz w:val="18"/>
                <w:szCs w:val="18"/>
                <w:lang w:val="fr-CA"/>
              </w:rPr>
            </w:pPr>
            <w:proofErr w:type="spellStart"/>
            <w:r w:rsidRPr="00904C80">
              <w:rPr>
                <w:sz w:val="18"/>
                <w:szCs w:val="18"/>
                <w:lang w:val="fr-CA"/>
              </w:rPr>
              <w:t>e.g</w:t>
            </w:r>
            <w:proofErr w:type="spellEnd"/>
            <w:r w:rsidRPr="00904C80">
              <w:rPr>
                <w:sz w:val="18"/>
                <w:szCs w:val="18"/>
                <w:lang w:val="fr-CA"/>
              </w:rPr>
              <w:t>. Girard et al. 2004</w:t>
            </w:r>
          </w:p>
          <w:p w14:paraId="6138D6C9" w14:textId="77777777" w:rsidR="001116F1" w:rsidRPr="00904C80" w:rsidRDefault="001116F1" w:rsidP="00622A23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  <w:lang w:val="fr-CA"/>
              </w:rPr>
              <w:t>Percival and Lindsay, 1997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C94B86E" w14:textId="77777777" w:rsidR="001116F1" w:rsidRPr="00904C80" w:rsidRDefault="001116F1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Sieving SS80</w:t>
            </w:r>
          </w:p>
        </w:tc>
      </w:tr>
      <w:tr w:rsidR="001116F1" w:rsidRPr="00904C80" w14:paraId="4BBE357E" w14:textId="77777777" w:rsidTr="00B3188A">
        <w:tc>
          <w:tcPr>
            <w:tcW w:w="2065" w:type="dxa"/>
          </w:tcPr>
          <w:p w14:paraId="17833B51" w14:textId="1594E6B8" w:rsidR="001116F1" w:rsidRPr="00904C80" w:rsidRDefault="000C2E5E" w:rsidP="00D90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GSC Sedimentology Lab</w:t>
            </w:r>
          </w:p>
        </w:tc>
        <w:tc>
          <w:tcPr>
            <w:tcW w:w="1530" w:type="dxa"/>
            <w:shd w:val="clear" w:color="auto" w:fill="auto"/>
          </w:tcPr>
          <w:p w14:paraId="20874228" w14:textId="0FDA1153" w:rsidR="001116F1" w:rsidRPr="00904C80" w:rsidRDefault="000C2E5E" w:rsidP="007C50C6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15818</w:t>
            </w:r>
          </w:p>
        </w:tc>
        <w:tc>
          <w:tcPr>
            <w:tcW w:w="1440" w:type="dxa"/>
          </w:tcPr>
          <w:p w14:paraId="0001C70F" w14:textId="12D76225" w:rsidR="001116F1" w:rsidRPr="00904C80" w:rsidRDefault="000C2E5E" w:rsidP="00D90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 mesh</w:t>
            </w:r>
          </w:p>
        </w:tc>
        <w:tc>
          <w:tcPr>
            <w:tcW w:w="1350" w:type="dxa"/>
          </w:tcPr>
          <w:p w14:paraId="5F3E4BB6" w14:textId="7819681A" w:rsidR="001116F1" w:rsidRPr="00904C80" w:rsidRDefault="000C2E5E" w:rsidP="00D90BB0">
            <w:pPr>
              <w:rPr>
                <w:sz w:val="18"/>
                <w:szCs w:val="18"/>
              </w:rPr>
            </w:pPr>
            <w:r w:rsidRPr="000C2E5E">
              <w:rPr>
                <w:sz w:val="18"/>
                <w:szCs w:val="18"/>
              </w:rPr>
              <w:t>&lt;177 µm</w:t>
            </w:r>
          </w:p>
        </w:tc>
        <w:tc>
          <w:tcPr>
            <w:tcW w:w="2255" w:type="dxa"/>
          </w:tcPr>
          <w:p w14:paraId="73EB66F9" w14:textId="4FA9B625" w:rsidR="00740493" w:rsidRPr="00904C80" w:rsidRDefault="000C2E5E" w:rsidP="00D90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Air-dry &lt;</w:t>
            </w:r>
            <w:r w:rsidRPr="000C2E5E">
              <w:rPr>
                <w:sz w:val="18"/>
                <w:szCs w:val="18"/>
              </w:rPr>
              <w:t>40⁰C</w:t>
            </w:r>
            <w:r>
              <w:rPr>
                <w:sz w:val="18"/>
                <w:szCs w:val="18"/>
              </w:rPr>
              <w:t>, sieve</w:t>
            </w:r>
          </w:p>
        </w:tc>
        <w:tc>
          <w:tcPr>
            <w:tcW w:w="1710" w:type="dxa"/>
          </w:tcPr>
          <w:p w14:paraId="28DA4EB4" w14:textId="72167CCA" w:rsidR="001116F1" w:rsidRPr="00904C80" w:rsidRDefault="000C2E5E" w:rsidP="007C50C6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065" w:type="dxa"/>
          </w:tcPr>
          <w:p w14:paraId="5A0A06C3" w14:textId="5597AFDD" w:rsidR="001116F1" w:rsidRPr="00904C80" w:rsidRDefault="000C2E5E" w:rsidP="007C50C6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Girard et al, 2004</w:t>
            </w:r>
          </w:p>
        </w:tc>
        <w:tc>
          <w:tcPr>
            <w:tcW w:w="1800" w:type="dxa"/>
            <w:shd w:val="clear" w:color="auto" w:fill="auto"/>
          </w:tcPr>
          <w:p w14:paraId="4DB24998" w14:textId="77777777" w:rsidR="001116F1" w:rsidRPr="00904C80" w:rsidRDefault="001116F1" w:rsidP="007C50C6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451389" w:rsidRPr="00904C80" w14:paraId="70535BEF" w14:textId="77777777" w:rsidTr="00B3188A">
        <w:tc>
          <w:tcPr>
            <w:tcW w:w="2065" w:type="dxa"/>
          </w:tcPr>
          <w:p w14:paraId="5B17047B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1D13B721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8653BA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EAEB7F4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</w:tcPr>
          <w:p w14:paraId="0FD40B9F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4CE8F87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136513CC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7B5463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</w:tr>
      <w:tr w:rsidR="007C50C6" w:rsidRPr="00904C80" w14:paraId="7BFD8B61" w14:textId="77777777" w:rsidTr="00B3188A">
        <w:tc>
          <w:tcPr>
            <w:tcW w:w="2065" w:type="dxa"/>
          </w:tcPr>
          <w:p w14:paraId="48FAC341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57216FF3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8D0A73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7AC2FC4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</w:tcPr>
          <w:p w14:paraId="63B147EB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320FAC8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14:paraId="4341A08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47B814A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</w:tr>
      <w:tr w:rsidR="007C50C6" w:rsidRPr="00904C80" w14:paraId="0863ADD1" w14:textId="77777777" w:rsidTr="00B3188A">
        <w:tc>
          <w:tcPr>
            <w:tcW w:w="2065" w:type="dxa"/>
            <w:shd w:val="clear" w:color="auto" w:fill="auto"/>
          </w:tcPr>
          <w:p w14:paraId="48D90F55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4A2E1CE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6178868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FD8EA5B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14:paraId="2FA3601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29AAA462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1270FC6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138FA2C2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</w:tr>
      <w:tr w:rsidR="007C50C6" w:rsidRPr="00904C80" w14:paraId="057D21C4" w14:textId="77777777" w:rsidTr="00B3188A">
        <w:tc>
          <w:tcPr>
            <w:tcW w:w="2065" w:type="dxa"/>
            <w:shd w:val="clear" w:color="auto" w:fill="auto"/>
          </w:tcPr>
          <w:p w14:paraId="730FED62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4512CD3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7D57F10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1C673E8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14:paraId="25596785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71E523CB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7E9B11B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1E0373C5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</w:tr>
    </w:tbl>
    <w:p w14:paraId="2C84FD79" w14:textId="77777777" w:rsidR="001116F1" w:rsidRPr="00904C80" w:rsidRDefault="001116F1">
      <w:pPr>
        <w:rPr>
          <w:sz w:val="18"/>
          <w:szCs w:val="18"/>
        </w:rPr>
      </w:pPr>
    </w:p>
    <w:p w14:paraId="04FCD750" w14:textId="77777777" w:rsidR="00227AC3" w:rsidRPr="00EE4412" w:rsidRDefault="00227AC3" w:rsidP="009F1BEF">
      <w:pPr>
        <w:pStyle w:val="Heading1"/>
      </w:pPr>
      <w:r w:rsidRPr="00EE4412">
        <w:t xml:space="preserve">Geochemical </w:t>
      </w:r>
      <w:r w:rsidR="005D70E7" w:rsidRPr="00EE4412">
        <w:t>A</w:t>
      </w:r>
      <w:r w:rsidRPr="00EE4412">
        <w:t xml:space="preserve">nalysis </w:t>
      </w:r>
      <w:r w:rsidR="005D70E7" w:rsidRPr="00EE4412">
        <w:t>M</w:t>
      </w:r>
      <w:r w:rsidRPr="00EE4412">
        <w:t>et</w:t>
      </w:r>
      <w:r w:rsidR="005D70E7" w:rsidRPr="00EE4412">
        <w:t>a</w:t>
      </w:r>
      <w:r w:rsidRPr="00EE4412">
        <w:t>data</w:t>
      </w:r>
    </w:p>
    <w:p w14:paraId="72DCCF0F" w14:textId="77777777" w:rsidR="00227AC3" w:rsidRDefault="009F1BEF" w:rsidP="009F1BEF">
      <w:pPr>
        <w:pStyle w:val="Heading2"/>
      </w:pPr>
      <w:r>
        <w:t>Part 1</w:t>
      </w:r>
      <w:r w:rsidR="001116F1">
        <w:t xml:space="preserve"> of 2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065"/>
        <w:gridCol w:w="1714"/>
        <w:gridCol w:w="1395"/>
        <w:gridCol w:w="1396"/>
        <w:gridCol w:w="1260"/>
        <w:gridCol w:w="2335"/>
        <w:gridCol w:w="1530"/>
        <w:gridCol w:w="2430"/>
      </w:tblGrid>
      <w:tr w:rsidR="00451389" w14:paraId="5D9FDE53" w14:textId="77777777" w:rsidTr="00535F91">
        <w:tc>
          <w:tcPr>
            <w:tcW w:w="20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C0058BB" w14:textId="77777777" w:rsidR="00451389" w:rsidRPr="00904C80" w:rsidRDefault="00513150" w:rsidP="00F576BB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Lab Name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58AF29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Work Order# or Certificate Name (usually a number)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9449EB2" w14:textId="77777777" w:rsidR="00513150" w:rsidRPr="00904C80" w:rsidRDefault="00513150" w:rsidP="0051315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Date Samples Submitted to Lab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88F499" w14:textId="77777777" w:rsidR="00513150" w:rsidRPr="00904C80" w:rsidRDefault="00513150" w:rsidP="0051315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Date Sample Data Reported to GSC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91C5492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Size Fraction Analysed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EE5275A" w14:textId="77777777" w:rsidR="00513150" w:rsidRPr="00904C80" w:rsidRDefault="00513150" w:rsidP="0051315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Analytical Digestion (if applicable)</w:t>
            </w:r>
            <w:r w:rsidR="00740493" w:rsidRPr="00904C80">
              <w:rPr>
                <w:sz w:val="18"/>
                <w:szCs w:val="18"/>
              </w:rPr>
              <w:t xml:space="preserve">: </w:t>
            </w:r>
            <w:r w:rsidR="00740493" w:rsidRPr="00FE7AAF">
              <w:rPr>
                <w:sz w:val="18"/>
                <w:szCs w:val="18"/>
              </w:rPr>
              <w:t xml:space="preserve">list each digestion </w:t>
            </w:r>
            <w:r w:rsidR="00113345" w:rsidRPr="00FE7AAF">
              <w:rPr>
                <w:sz w:val="18"/>
                <w:szCs w:val="18"/>
              </w:rPr>
              <w:t>on a separate line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8237804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Analytical Method / Aliquot Mass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026DD" w14:textId="77777777" w:rsidR="00513150" w:rsidRPr="00904C80" w:rsidRDefault="00513150" w:rsidP="00474D5B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Name and Abbreviation of </w:t>
            </w:r>
            <w:r w:rsidR="00474D5B" w:rsidRPr="00904C80">
              <w:rPr>
                <w:sz w:val="18"/>
                <w:szCs w:val="18"/>
              </w:rPr>
              <w:t>Laboratory’s Analytical P</w:t>
            </w:r>
            <w:r w:rsidRPr="00904C80">
              <w:rPr>
                <w:sz w:val="18"/>
                <w:szCs w:val="18"/>
              </w:rPr>
              <w:t>ackage</w:t>
            </w:r>
          </w:p>
        </w:tc>
      </w:tr>
      <w:tr w:rsidR="00451389" w14:paraId="1107E8CC" w14:textId="77777777" w:rsidTr="00535F91">
        <w:tc>
          <w:tcPr>
            <w:tcW w:w="2065" w:type="dxa"/>
            <w:shd w:val="clear" w:color="auto" w:fill="D9D9D9" w:themeFill="background1" w:themeFillShade="D9"/>
          </w:tcPr>
          <w:p w14:paraId="59210186" w14:textId="77777777" w:rsidR="00513150" w:rsidRPr="00904C80" w:rsidRDefault="00BF1D17" w:rsidP="00FC06F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</w:t>
            </w:r>
            <w:r w:rsidR="00513150" w:rsidRPr="00904C80">
              <w:rPr>
                <w:sz w:val="18"/>
                <w:szCs w:val="18"/>
              </w:rPr>
              <w:t>lab</w:t>
            </w:r>
            <w:r>
              <w:rPr>
                <w:sz w:val="18"/>
                <w:szCs w:val="18"/>
              </w:rPr>
              <w:t xml:space="preserve">; </w:t>
            </w:r>
            <w:r w:rsidR="00513150" w:rsidRPr="00904C80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>; country</w:t>
            </w:r>
          </w:p>
        </w:tc>
        <w:tc>
          <w:tcPr>
            <w:tcW w:w="1714" w:type="dxa"/>
            <w:shd w:val="clear" w:color="auto" w:fill="D9D9D9" w:themeFill="background1" w:themeFillShade="D9"/>
          </w:tcPr>
          <w:p w14:paraId="624456AE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as assigned by the analytical lab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BE4BB7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day/month/</w:t>
            </w:r>
            <w:proofErr w:type="spellStart"/>
            <w:r w:rsidRPr="00904C80">
              <w:rPr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396" w:type="dxa"/>
            <w:shd w:val="clear" w:color="auto" w:fill="D9D9D9" w:themeFill="background1" w:themeFillShade="D9"/>
          </w:tcPr>
          <w:p w14:paraId="096BAB03" w14:textId="77777777" w:rsidR="00513150" w:rsidRPr="00904C80" w:rsidRDefault="004F44B0" w:rsidP="004F44B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day/</w:t>
            </w:r>
            <w:r w:rsidR="00513150" w:rsidRPr="00904C80">
              <w:rPr>
                <w:sz w:val="18"/>
                <w:szCs w:val="18"/>
              </w:rPr>
              <w:t>month/</w:t>
            </w:r>
            <w:proofErr w:type="spellStart"/>
            <w:r w:rsidR="00513150" w:rsidRPr="00904C80">
              <w:rPr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</w:tcPr>
          <w:p w14:paraId="028C4B90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&lt; 0.063 mm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5B3B9300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be specific about ratio and types of acids</w:t>
            </w:r>
          </w:p>
          <w:p w14:paraId="17834FFB" w14:textId="77777777" w:rsidR="00740493" w:rsidRPr="00904C80" w:rsidRDefault="00740493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e.g. modified Aqua regia 1:1:1 </w:t>
            </w:r>
            <w:r w:rsidRPr="00904C80">
              <w:rPr>
                <w:rFonts w:ascii="Arial" w:hAnsi="Arial" w:cs="Arial"/>
                <w:color w:val="231F20"/>
                <w:sz w:val="18"/>
                <w:szCs w:val="18"/>
              </w:rPr>
              <w:t xml:space="preserve"> HCl:HNO</w:t>
            </w:r>
            <w:r w:rsidRPr="00904C80">
              <w:rPr>
                <w:rFonts w:ascii="Arial" w:hAnsi="Arial" w:cs="Arial"/>
                <w:color w:val="231F20"/>
                <w:sz w:val="18"/>
                <w:szCs w:val="18"/>
                <w:vertAlign w:val="subscript"/>
              </w:rPr>
              <w:t>3</w:t>
            </w:r>
            <w:r w:rsidRPr="00904C80">
              <w:rPr>
                <w:rFonts w:ascii="Arial" w:hAnsi="Arial" w:cs="Arial"/>
                <w:color w:val="231F20"/>
                <w:sz w:val="18"/>
                <w:szCs w:val="18"/>
              </w:rPr>
              <w:t>:water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3A006A9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ICP-ES/0.5 g</w:t>
            </w:r>
          </w:p>
          <w:p w14:paraId="4D2C36E5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INAA/30g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442BD31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FA300 – Fire Assay</w:t>
            </w:r>
          </w:p>
          <w:p w14:paraId="7F60DE02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AQ250 – aqua regia</w:t>
            </w:r>
          </w:p>
          <w:p w14:paraId="4231F16E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LF200 – borate fusion</w:t>
            </w:r>
          </w:p>
        </w:tc>
      </w:tr>
      <w:tr w:rsidR="00451389" w14:paraId="5AF570F6" w14:textId="77777777" w:rsidTr="00535F91">
        <w:tc>
          <w:tcPr>
            <w:tcW w:w="2065" w:type="dxa"/>
          </w:tcPr>
          <w:p w14:paraId="777A99CC" w14:textId="162B05C4" w:rsidR="00131F35" w:rsidRPr="00131F35" w:rsidRDefault="00B95CF6" w:rsidP="00131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Maxxam, Mississauga, ON</w:t>
            </w:r>
          </w:p>
        </w:tc>
        <w:tc>
          <w:tcPr>
            <w:tcW w:w="1714" w:type="dxa"/>
          </w:tcPr>
          <w:p w14:paraId="356B1016" w14:textId="40CB71FC" w:rsidR="00131F35" w:rsidRPr="00131F35" w:rsidRDefault="00B95CF6" w:rsidP="00131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B813750</w:t>
            </w:r>
          </w:p>
        </w:tc>
        <w:tc>
          <w:tcPr>
            <w:tcW w:w="1395" w:type="dxa"/>
            <w:shd w:val="clear" w:color="auto" w:fill="auto"/>
          </w:tcPr>
          <w:p w14:paraId="6754E1E6" w14:textId="6CFA04A3" w:rsidR="00131F35" w:rsidRPr="00904C80" w:rsidRDefault="00B95CF6" w:rsidP="00131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19/01/2018</w:t>
            </w:r>
          </w:p>
        </w:tc>
        <w:tc>
          <w:tcPr>
            <w:tcW w:w="1396" w:type="dxa"/>
          </w:tcPr>
          <w:p w14:paraId="3E6B2074" w14:textId="27C14E4C" w:rsidR="00131F35" w:rsidRPr="00904C80" w:rsidRDefault="00B95CF6" w:rsidP="00131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05/02/2018</w:t>
            </w:r>
          </w:p>
        </w:tc>
        <w:tc>
          <w:tcPr>
            <w:tcW w:w="1260" w:type="dxa"/>
          </w:tcPr>
          <w:p w14:paraId="2EC8CB32" w14:textId="101D0FD0" w:rsidR="00131F35" w:rsidRPr="00904C80" w:rsidRDefault="00B95CF6" w:rsidP="00131F35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  <w:shd w:val="clear" w:color="auto" w:fill="auto"/>
          </w:tcPr>
          <w:p w14:paraId="68281AD3" w14:textId="77777777" w:rsidR="00131F35" w:rsidRPr="00904C80" w:rsidRDefault="00131F35" w:rsidP="00131F3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6599EC70" w14:textId="6E46B3C3" w:rsidR="00F2019B" w:rsidRPr="00F2019B" w:rsidRDefault="00B95CF6" w:rsidP="00131F35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INAA/30g</w:t>
            </w:r>
          </w:p>
        </w:tc>
        <w:tc>
          <w:tcPr>
            <w:tcW w:w="2430" w:type="dxa"/>
            <w:shd w:val="clear" w:color="auto" w:fill="auto"/>
          </w:tcPr>
          <w:p w14:paraId="5D107215" w14:textId="14EA21EB" w:rsidR="00131F35" w:rsidRPr="00904C80" w:rsidRDefault="00B95CF6" w:rsidP="00131F3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BQ-NAA-1</w:t>
            </w:r>
          </w:p>
        </w:tc>
      </w:tr>
      <w:tr w:rsidR="00451389" w14:paraId="2A95F3D0" w14:textId="77777777" w:rsidTr="00535F91">
        <w:trPr>
          <w:trHeight w:val="348"/>
        </w:trPr>
        <w:tc>
          <w:tcPr>
            <w:tcW w:w="2065" w:type="dxa"/>
          </w:tcPr>
          <w:p w14:paraId="14FB6556" w14:textId="0D31554B" w:rsidR="00BF1D17" w:rsidRPr="00131F35" w:rsidRDefault="00B95CF6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0B6B512A" w14:textId="78CC7A6C" w:rsidR="00BF1D17" w:rsidRPr="00131F35" w:rsidRDefault="00B95CF6" w:rsidP="00BF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VAN17003017.1</w:t>
            </w:r>
          </w:p>
        </w:tc>
        <w:tc>
          <w:tcPr>
            <w:tcW w:w="1395" w:type="dxa"/>
            <w:shd w:val="clear" w:color="auto" w:fill="auto"/>
          </w:tcPr>
          <w:p w14:paraId="2F155F39" w14:textId="01157117" w:rsidR="00BF1D17" w:rsidRPr="00904C80" w:rsidRDefault="00B95CF6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396" w:type="dxa"/>
          </w:tcPr>
          <w:p w14:paraId="61F2D290" w14:textId="5E36F84D" w:rsidR="00BF1D17" w:rsidRPr="00131F35" w:rsidRDefault="00B95CF6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01/02/2018</w:t>
            </w:r>
          </w:p>
        </w:tc>
        <w:tc>
          <w:tcPr>
            <w:tcW w:w="1260" w:type="dxa"/>
          </w:tcPr>
          <w:p w14:paraId="3B84DBBE" w14:textId="4DEC5DBB" w:rsidR="00BF1D17" w:rsidRDefault="00B95CF6" w:rsidP="00BF1D17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  <w:shd w:val="clear" w:color="auto" w:fill="auto"/>
          </w:tcPr>
          <w:p w14:paraId="72EEE468" w14:textId="77777777" w:rsidR="00BF1D17" w:rsidRPr="00904C80" w:rsidRDefault="00BF1D17" w:rsidP="00BF1D1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51BD688F" w14:textId="68E7F339" w:rsidR="00BF1D17" w:rsidRPr="00904C80" w:rsidRDefault="00BB3C7A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FA/30g</w:t>
            </w:r>
          </w:p>
        </w:tc>
        <w:tc>
          <w:tcPr>
            <w:tcW w:w="2430" w:type="dxa"/>
            <w:shd w:val="clear" w:color="auto" w:fill="auto"/>
          </w:tcPr>
          <w:p w14:paraId="6A611CAC" w14:textId="655ED8F4" w:rsidR="00BF1D17" w:rsidRPr="00904C80" w:rsidRDefault="00BB3C7A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FA330 – Fire Assay</w:t>
            </w:r>
          </w:p>
        </w:tc>
      </w:tr>
      <w:tr w:rsidR="00B95CF6" w14:paraId="054592A8" w14:textId="77777777" w:rsidTr="00535F91">
        <w:tc>
          <w:tcPr>
            <w:tcW w:w="2065" w:type="dxa"/>
          </w:tcPr>
          <w:p w14:paraId="55B739AB" w14:textId="79AE101D" w:rsidR="00B95CF6" w:rsidRPr="00131F35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712C3D6B" w14:textId="25AD22BF" w:rsidR="00B95CF6" w:rsidRPr="00131F35" w:rsidRDefault="00B95CF6" w:rsidP="00B95C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VAN17003017.1</w:t>
            </w:r>
          </w:p>
        </w:tc>
        <w:tc>
          <w:tcPr>
            <w:tcW w:w="1395" w:type="dxa"/>
            <w:shd w:val="clear" w:color="auto" w:fill="auto"/>
          </w:tcPr>
          <w:p w14:paraId="493D2C14" w14:textId="7E1AB6C0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396" w:type="dxa"/>
          </w:tcPr>
          <w:p w14:paraId="4AD0DEFF" w14:textId="61E1DAE2" w:rsidR="00B95CF6" w:rsidRPr="00131F35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01/02/2018</w:t>
            </w:r>
          </w:p>
        </w:tc>
        <w:tc>
          <w:tcPr>
            <w:tcW w:w="1260" w:type="dxa"/>
          </w:tcPr>
          <w:p w14:paraId="4A07AD69" w14:textId="3097091D" w:rsidR="00B95CF6" w:rsidRDefault="00B95CF6" w:rsidP="00B95CF6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  <w:shd w:val="clear" w:color="auto" w:fill="auto"/>
          </w:tcPr>
          <w:p w14:paraId="239467A5" w14:textId="77777777" w:rsidR="00B95CF6" w:rsidRPr="00904C80" w:rsidRDefault="00B95CF6" w:rsidP="00B95C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0F58D7E5" w14:textId="14E84FCC" w:rsidR="00B95CF6" w:rsidRPr="00904C80" w:rsidRDefault="00BB3C7A" w:rsidP="00C0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LECO/0.1g</w:t>
            </w:r>
          </w:p>
        </w:tc>
        <w:tc>
          <w:tcPr>
            <w:tcW w:w="2430" w:type="dxa"/>
            <w:shd w:val="clear" w:color="auto" w:fill="auto"/>
          </w:tcPr>
          <w:p w14:paraId="5E5F3372" w14:textId="1B87F776" w:rsidR="00B95CF6" w:rsidRPr="00904C80" w:rsidRDefault="00BB3C7A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TC003 - LECO</w:t>
            </w:r>
          </w:p>
        </w:tc>
      </w:tr>
      <w:tr w:rsidR="00B95CF6" w14:paraId="54326298" w14:textId="77777777" w:rsidTr="00535F91">
        <w:tc>
          <w:tcPr>
            <w:tcW w:w="2065" w:type="dxa"/>
          </w:tcPr>
          <w:p w14:paraId="5917DC45" w14:textId="745AF636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036A2779" w14:textId="60A4778B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VAN17003017.1</w:t>
            </w:r>
          </w:p>
        </w:tc>
        <w:tc>
          <w:tcPr>
            <w:tcW w:w="1395" w:type="dxa"/>
            <w:shd w:val="clear" w:color="auto" w:fill="auto"/>
          </w:tcPr>
          <w:p w14:paraId="1A790FB9" w14:textId="208AE823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396" w:type="dxa"/>
          </w:tcPr>
          <w:p w14:paraId="315CD99D" w14:textId="0BF85BFD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01/02/2018</w:t>
            </w:r>
          </w:p>
        </w:tc>
        <w:tc>
          <w:tcPr>
            <w:tcW w:w="1260" w:type="dxa"/>
          </w:tcPr>
          <w:p w14:paraId="521538B8" w14:textId="51EDA125" w:rsidR="00B95CF6" w:rsidRPr="00904C80" w:rsidRDefault="00B95CF6" w:rsidP="00B95CF6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</w:tcPr>
          <w:p w14:paraId="132DDF23" w14:textId="384E14A0" w:rsidR="00B95CF6" w:rsidRPr="00904C80" w:rsidRDefault="00BB3C7A" w:rsidP="00B95CF6">
            <w:pPr>
              <w:rPr>
                <w:sz w:val="18"/>
                <w:szCs w:val="18"/>
              </w:rPr>
            </w:pPr>
            <w:r w:rsidRPr="00BB3C7A">
              <w:rPr>
                <w:sz w:val="18"/>
                <w:szCs w:val="18"/>
              </w:rPr>
              <w:t>modified Aqua regia 1:1:1  HCl:HNO3:water</w:t>
            </w:r>
          </w:p>
        </w:tc>
        <w:tc>
          <w:tcPr>
            <w:tcW w:w="1530" w:type="dxa"/>
          </w:tcPr>
          <w:p w14:paraId="61D5F198" w14:textId="2F4A0540" w:rsidR="00B95CF6" w:rsidRPr="00904C80" w:rsidRDefault="00BB3C7A" w:rsidP="00C0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ICP-MS/0.5g</w:t>
            </w:r>
          </w:p>
        </w:tc>
        <w:tc>
          <w:tcPr>
            <w:tcW w:w="2430" w:type="dxa"/>
          </w:tcPr>
          <w:p w14:paraId="67A230AE" w14:textId="5C918D2F" w:rsidR="00B95CF6" w:rsidRPr="00904C80" w:rsidRDefault="00BB3C7A" w:rsidP="00B95CF6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AQ250_EXT_REE</w:t>
            </w:r>
          </w:p>
        </w:tc>
      </w:tr>
      <w:tr w:rsidR="00B95CF6" w14:paraId="6AF534AA" w14:textId="77777777" w:rsidTr="00535F91">
        <w:tc>
          <w:tcPr>
            <w:tcW w:w="2065" w:type="dxa"/>
          </w:tcPr>
          <w:p w14:paraId="0754AE40" w14:textId="5A5DD796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56AD8F7C" w14:textId="5D247DF1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VAN17003017.1</w:t>
            </w:r>
          </w:p>
        </w:tc>
        <w:tc>
          <w:tcPr>
            <w:tcW w:w="1395" w:type="dxa"/>
            <w:shd w:val="clear" w:color="auto" w:fill="auto"/>
          </w:tcPr>
          <w:p w14:paraId="5B6677C3" w14:textId="5C006855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396" w:type="dxa"/>
          </w:tcPr>
          <w:p w14:paraId="050D6D61" w14:textId="16AF604B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01/02/2018</w:t>
            </w:r>
          </w:p>
        </w:tc>
        <w:tc>
          <w:tcPr>
            <w:tcW w:w="1260" w:type="dxa"/>
          </w:tcPr>
          <w:p w14:paraId="6F29C72D" w14:textId="610DE7CC" w:rsidR="00B95CF6" w:rsidRPr="00904C80" w:rsidRDefault="00B95CF6" w:rsidP="00B95CF6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</w:tcPr>
          <w:p w14:paraId="30CAF83E" w14:textId="77777777" w:rsidR="00B95CF6" w:rsidRPr="00904C80" w:rsidRDefault="00B95CF6" w:rsidP="00B95C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75A235C4" w14:textId="45B82E4F" w:rsidR="00B95CF6" w:rsidRPr="00904C80" w:rsidRDefault="00BB3C7A" w:rsidP="00C0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LOI</w:t>
            </w:r>
            <w:r w:rsidR="00C068E0">
              <w:rPr>
                <w:sz w:val="18"/>
                <w:szCs w:val="18"/>
              </w:rPr>
              <w:t>/0.1g</w:t>
            </w:r>
          </w:p>
        </w:tc>
        <w:tc>
          <w:tcPr>
            <w:tcW w:w="2430" w:type="dxa"/>
          </w:tcPr>
          <w:p w14:paraId="6AF598D6" w14:textId="1808C201" w:rsidR="00B95CF6" w:rsidRPr="00904C80" w:rsidRDefault="00BB3C7A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TG001</w:t>
            </w:r>
          </w:p>
        </w:tc>
      </w:tr>
      <w:tr w:rsidR="00535F91" w14:paraId="1E5919BA" w14:textId="77777777" w:rsidTr="00535F91">
        <w:tc>
          <w:tcPr>
            <w:tcW w:w="2065" w:type="dxa"/>
          </w:tcPr>
          <w:p w14:paraId="29C00BAE" w14:textId="75E77FE2" w:rsidR="00535F91" w:rsidRDefault="00535F91" w:rsidP="0053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478CD619" w14:textId="0992DB10" w:rsidR="00535F91" w:rsidRDefault="00535F91" w:rsidP="00535F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5F91">
              <w:rPr>
                <w:rFonts w:ascii="Calibri" w:hAnsi="Calibri" w:cs="Calibri"/>
                <w:color w:val="000000"/>
                <w:sz w:val="18"/>
                <w:szCs w:val="18"/>
              </w:rPr>
              <w:t>VAN20002940</w:t>
            </w:r>
          </w:p>
        </w:tc>
        <w:tc>
          <w:tcPr>
            <w:tcW w:w="1395" w:type="dxa"/>
            <w:shd w:val="clear" w:color="auto" w:fill="auto"/>
          </w:tcPr>
          <w:p w14:paraId="00FE54AD" w14:textId="576C2574" w:rsidR="00535F91" w:rsidRDefault="00535F91" w:rsidP="0053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21/12/2020</w:t>
            </w:r>
          </w:p>
        </w:tc>
        <w:tc>
          <w:tcPr>
            <w:tcW w:w="1396" w:type="dxa"/>
          </w:tcPr>
          <w:p w14:paraId="38033149" w14:textId="6C2E0EBA" w:rsidR="00535F91" w:rsidRDefault="00535F91" w:rsidP="0053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11/01/2021</w:t>
            </w:r>
          </w:p>
        </w:tc>
        <w:tc>
          <w:tcPr>
            <w:tcW w:w="1260" w:type="dxa"/>
          </w:tcPr>
          <w:p w14:paraId="6D869F73" w14:textId="00774999" w:rsidR="00535F91" w:rsidRPr="00B95CF6" w:rsidRDefault="00535F91" w:rsidP="00535F91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</w:tcPr>
          <w:p w14:paraId="609FF397" w14:textId="409F5D0B" w:rsidR="00535F91" w:rsidRPr="00904C80" w:rsidRDefault="00535F91" w:rsidP="00535F91">
            <w:pPr>
              <w:rPr>
                <w:sz w:val="18"/>
                <w:szCs w:val="18"/>
              </w:rPr>
            </w:pPr>
            <w:r w:rsidRPr="00BB3C7A">
              <w:rPr>
                <w:sz w:val="18"/>
                <w:szCs w:val="18"/>
              </w:rPr>
              <w:t>modified Aqua regia 1:1:1  HCl:HNO3:water</w:t>
            </w:r>
          </w:p>
        </w:tc>
        <w:tc>
          <w:tcPr>
            <w:tcW w:w="1530" w:type="dxa"/>
          </w:tcPr>
          <w:p w14:paraId="7350C896" w14:textId="54C66739" w:rsidR="00535F91" w:rsidRDefault="00535F91" w:rsidP="0053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ICP-MS/30 g</w:t>
            </w:r>
          </w:p>
        </w:tc>
        <w:tc>
          <w:tcPr>
            <w:tcW w:w="2430" w:type="dxa"/>
          </w:tcPr>
          <w:p w14:paraId="7D2C0F6F" w14:textId="33ABC906" w:rsidR="00535F91" w:rsidRDefault="00535F91" w:rsidP="0053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AQ252_EXT_REE</w:t>
            </w:r>
          </w:p>
        </w:tc>
      </w:tr>
    </w:tbl>
    <w:p w14:paraId="2BFD43D3" w14:textId="230755DD" w:rsidR="004B1575" w:rsidRDefault="004B1575"/>
    <w:p w14:paraId="6B75CD48" w14:textId="215146BC" w:rsidR="00BB3C7A" w:rsidRDefault="00BB3C7A"/>
    <w:p w14:paraId="46134C46" w14:textId="77777777" w:rsidR="00BB3C7A" w:rsidRDefault="00BB3C7A"/>
    <w:p w14:paraId="2E1FD0FE" w14:textId="77777777" w:rsidR="00FC06F7" w:rsidRDefault="009F1BEF" w:rsidP="009F1BEF">
      <w:pPr>
        <w:pStyle w:val="Heading2"/>
      </w:pPr>
      <w:r>
        <w:lastRenderedPageBreak/>
        <w:t>Part 2</w:t>
      </w:r>
      <w:r w:rsidR="001116F1">
        <w:t xml:space="preserve"> of 2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3960"/>
        <w:gridCol w:w="4050"/>
        <w:gridCol w:w="2700"/>
        <w:gridCol w:w="3415"/>
      </w:tblGrid>
      <w:tr w:rsidR="00D53240" w14:paraId="1AD0CEC9" w14:textId="77777777" w:rsidTr="00B3188A">
        <w:tc>
          <w:tcPr>
            <w:tcW w:w="39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5A163DD" w14:textId="77777777" w:rsidR="00D53240" w:rsidRPr="00904C80" w:rsidRDefault="00474D5B" w:rsidP="00474D5B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Upper and L</w:t>
            </w:r>
            <w:r w:rsidR="00D53240" w:rsidRPr="00904C80">
              <w:rPr>
                <w:sz w:val="18"/>
                <w:szCs w:val="18"/>
              </w:rPr>
              <w:t xml:space="preserve">ower </w:t>
            </w:r>
            <w:r w:rsidRPr="00904C80">
              <w:rPr>
                <w:sz w:val="18"/>
                <w:szCs w:val="18"/>
              </w:rPr>
              <w:t>D</w:t>
            </w:r>
            <w:r w:rsidR="00D53240" w:rsidRPr="00904C80">
              <w:rPr>
                <w:sz w:val="18"/>
                <w:szCs w:val="18"/>
              </w:rPr>
              <w:t xml:space="preserve">etection </w:t>
            </w:r>
            <w:r w:rsidRPr="00904C80">
              <w:rPr>
                <w:sz w:val="18"/>
                <w:szCs w:val="18"/>
              </w:rPr>
              <w:t>Li</w:t>
            </w:r>
            <w:r w:rsidR="00D53240" w:rsidRPr="00904C80">
              <w:rPr>
                <w:sz w:val="18"/>
                <w:szCs w:val="18"/>
              </w:rPr>
              <w:t xml:space="preserve">mits </w:t>
            </w:r>
            <w:r w:rsidRPr="00904C80">
              <w:rPr>
                <w:sz w:val="18"/>
                <w:szCs w:val="18"/>
              </w:rPr>
              <w:t>(</w:t>
            </w:r>
            <w:r w:rsidR="00D53240" w:rsidRPr="00904C80">
              <w:rPr>
                <w:sz w:val="18"/>
                <w:szCs w:val="18"/>
              </w:rPr>
              <w:t>for each element</w:t>
            </w:r>
            <w:r w:rsidRPr="00904C80">
              <w:rPr>
                <w:sz w:val="18"/>
                <w:szCs w:val="18"/>
              </w:rPr>
              <w:t>)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80C29D" w14:textId="77777777" w:rsidR="00D53240" w:rsidRPr="00904C80" w:rsidRDefault="00D53240" w:rsidP="00474D5B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PDF of </w:t>
            </w:r>
            <w:r w:rsidR="00474D5B" w:rsidRPr="00904C80">
              <w:rPr>
                <w:sz w:val="18"/>
                <w:szCs w:val="18"/>
              </w:rPr>
              <w:t>P</w:t>
            </w:r>
            <w:r w:rsidRPr="00904C80">
              <w:rPr>
                <w:sz w:val="18"/>
                <w:szCs w:val="18"/>
              </w:rPr>
              <w:t xml:space="preserve">rice </w:t>
            </w:r>
            <w:r w:rsidR="00474D5B" w:rsidRPr="00904C80">
              <w:rPr>
                <w:sz w:val="18"/>
                <w:szCs w:val="18"/>
              </w:rPr>
              <w:t>B</w:t>
            </w:r>
            <w:r w:rsidRPr="00904C80">
              <w:rPr>
                <w:sz w:val="18"/>
                <w:szCs w:val="18"/>
              </w:rPr>
              <w:t>rochure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B6FD1E" w14:textId="77777777" w:rsidR="00D53240" w:rsidRPr="00904C80" w:rsidRDefault="00D53240" w:rsidP="00474D5B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Deviations from </w:t>
            </w:r>
            <w:r w:rsidR="00474D5B" w:rsidRPr="00904C80">
              <w:rPr>
                <w:sz w:val="18"/>
                <w:szCs w:val="18"/>
              </w:rPr>
              <w:t>M</w:t>
            </w:r>
            <w:r w:rsidRPr="00904C80">
              <w:rPr>
                <w:sz w:val="18"/>
                <w:szCs w:val="18"/>
              </w:rPr>
              <w:t xml:space="preserve">ethods </w:t>
            </w:r>
            <w:r w:rsidR="00474D5B" w:rsidRPr="00904C80">
              <w:rPr>
                <w:sz w:val="18"/>
                <w:szCs w:val="18"/>
              </w:rPr>
              <w:t>Described in L</w:t>
            </w:r>
            <w:r w:rsidRPr="00904C80">
              <w:rPr>
                <w:sz w:val="18"/>
                <w:szCs w:val="18"/>
              </w:rPr>
              <w:t xml:space="preserve">ab </w:t>
            </w:r>
            <w:r w:rsidR="00474D5B" w:rsidRPr="00904C80">
              <w:rPr>
                <w:sz w:val="18"/>
                <w:szCs w:val="18"/>
              </w:rPr>
              <w:t>B</w:t>
            </w:r>
            <w:r w:rsidRPr="00904C80">
              <w:rPr>
                <w:sz w:val="18"/>
                <w:szCs w:val="18"/>
              </w:rPr>
              <w:t>rochure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81939F3" w14:textId="77777777" w:rsidR="00D53240" w:rsidRPr="00904C80" w:rsidRDefault="00D53240" w:rsidP="00474D5B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List </w:t>
            </w:r>
            <w:r w:rsidR="00474D5B" w:rsidRPr="00904C80">
              <w:rPr>
                <w:sz w:val="18"/>
                <w:szCs w:val="18"/>
              </w:rPr>
              <w:t>D</w:t>
            </w:r>
            <w:r w:rsidRPr="00904C80">
              <w:rPr>
                <w:sz w:val="18"/>
                <w:szCs w:val="18"/>
              </w:rPr>
              <w:t xml:space="preserve">ifferent </w:t>
            </w:r>
            <w:r w:rsidR="00474D5B" w:rsidRPr="00904C80">
              <w:rPr>
                <w:sz w:val="18"/>
                <w:szCs w:val="18"/>
              </w:rPr>
              <w:t>T</w:t>
            </w:r>
            <w:r w:rsidRPr="00904C80">
              <w:rPr>
                <w:sz w:val="18"/>
                <w:szCs w:val="18"/>
              </w:rPr>
              <w:t xml:space="preserve">ypes of QA/QC </w:t>
            </w:r>
            <w:r w:rsidR="00474D5B" w:rsidRPr="00904C80">
              <w:rPr>
                <w:sz w:val="18"/>
                <w:szCs w:val="18"/>
              </w:rPr>
              <w:t>S</w:t>
            </w:r>
            <w:r w:rsidRPr="00904C80">
              <w:rPr>
                <w:sz w:val="18"/>
                <w:szCs w:val="18"/>
              </w:rPr>
              <w:t xml:space="preserve">amples </w:t>
            </w:r>
            <w:r w:rsidR="00474D5B" w:rsidRPr="00904C80">
              <w:rPr>
                <w:sz w:val="18"/>
                <w:szCs w:val="18"/>
              </w:rPr>
              <w:t>I</w:t>
            </w:r>
            <w:r w:rsidRPr="00904C80">
              <w:rPr>
                <w:sz w:val="18"/>
                <w:szCs w:val="18"/>
              </w:rPr>
              <w:t>nserted</w:t>
            </w:r>
          </w:p>
        </w:tc>
      </w:tr>
      <w:tr w:rsidR="00CB3A33" w14:paraId="0455FE6A" w14:textId="77777777" w:rsidTr="00B3188A">
        <w:tc>
          <w:tcPr>
            <w:tcW w:w="3960" w:type="dxa"/>
            <w:shd w:val="clear" w:color="auto" w:fill="D9D9D9" w:themeFill="background1" w:themeFillShade="D9"/>
          </w:tcPr>
          <w:p w14:paraId="5799AEA3" w14:textId="77777777" w:rsidR="00D53240" w:rsidRPr="00904C80" w:rsidRDefault="005B1773" w:rsidP="00D5324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provide</w:t>
            </w:r>
            <w:r w:rsidR="00D53240" w:rsidRPr="00904C80">
              <w:rPr>
                <w:sz w:val="18"/>
                <w:szCs w:val="18"/>
              </w:rPr>
              <w:t xml:space="preserve"> separate Excel </w:t>
            </w:r>
            <w:r w:rsidR="00474D5B" w:rsidRPr="00904C80">
              <w:rPr>
                <w:sz w:val="18"/>
                <w:szCs w:val="18"/>
              </w:rPr>
              <w:t xml:space="preserve">table and indicate </w:t>
            </w:r>
            <w:r w:rsidRPr="00904C80">
              <w:rPr>
                <w:sz w:val="18"/>
                <w:szCs w:val="18"/>
              </w:rPr>
              <w:t>file name an</w:t>
            </w:r>
            <w:r w:rsidR="001F4680">
              <w:rPr>
                <w:sz w:val="18"/>
                <w:szCs w:val="18"/>
              </w:rPr>
              <w:t>d/or</w:t>
            </w:r>
            <w:r w:rsidRPr="00904C80">
              <w:rPr>
                <w:sz w:val="18"/>
                <w:szCs w:val="18"/>
              </w:rPr>
              <w:t xml:space="preserve"> </w:t>
            </w:r>
            <w:r w:rsidR="00474D5B" w:rsidRPr="00904C80">
              <w:rPr>
                <w:sz w:val="18"/>
                <w:szCs w:val="18"/>
              </w:rPr>
              <w:t xml:space="preserve"> locat</w:t>
            </w:r>
            <w:r w:rsidR="008629F7" w:rsidRPr="00904C80">
              <w:rPr>
                <w:sz w:val="18"/>
                <w:szCs w:val="18"/>
              </w:rPr>
              <w:t>ion  in report</w:t>
            </w:r>
          </w:p>
          <w:p w14:paraId="3DCD9734" w14:textId="77777777" w:rsidR="00D53240" w:rsidRPr="00904C80" w:rsidRDefault="00D53240" w:rsidP="00D5324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Appendix4</w:t>
            </w:r>
            <w:r w:rsidR="00113345">
              <w:rPr>
                <w:sz w:val="18"/>
                <w:szCs w:val="18"/>
              </w:rPr>
              <w:t>.xls</w:t>
            </w:r>
            <w:r w:rsidRPr="00904C80">
              <w:rPr>
                <w:sz w:val="18"/>
                <w:szCs w:val="18"/>
              </w:rPr>
              <w:t xml:space="preserve"> , Table 2</w:t>
            </w:r>
            <w:r w:rsidR="005B1773" w:rsidRPr="00904C80">
              <w:rPr>
                <w:sz w:val="18"/>
                <w:szCs w:val="18"/>
              </w:rPr>
              <w:t xml:space="preserve"> in body of report</w:t>
            </w:r>
          </w:p>
          <w:p w14:paraId="132E86A0" w14:textId="77777777" w:rsidR="005B1773" w:rsidRPr="00904C80" w:rsidRDefault="005B1773" w:rsidP="00D5324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e.g. </w:t>
            </w:r>
            <w:r w:rsidR="00113345">
              <w:rPr>
                <w:sz w:val="18"/>
                <w:szCs w:val="18"/>
              </w:rPr>
              <w:t>AppendixB1_</w:t>
            </w:r>
            <w:r w:rsidRPr="00904C80">
              <w:rPr>
                <w:sz w:val="18"/>
                <w:szCs w:val="18"/>
              </w:rPr>
              <w:t xml:space="preserve">Detection_Limits.xlsx 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EF6EB4" w14:textId="77777777" w:rsidR="00D53240" w:rsidRPr="00904C80" w:rsidRDefault="003469F0" w:rsidP="005B177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 </w:t>
            </w:r>
            <w:r w:rsidRPr="003469F0">
              <w:rPr>
                <w:sz w:val="18"/>
                <w:szCs w:val="18"/>
              </w:rPr>
              <w:t>(a) a PDF of commercial lab brochure and (b) PDFs of appropriate pages from lab website, where available</w:t>
            </w:r>
            <w:r w:rsidR="00113345">
              <w:rPr>
                <w:sz w:val="18"/>
                <w:szCs w:val="18"/>
              </w:rPr>
              <w:t xml:space="preserve"> </w:t>
            </w:r>
            <w:r w:rsidR="00D53240" w:rsidRPr="00904C80">
              <w:rPr>
                <w:sz w:val="18"/>
                <w:szCs w:val="18"/>
              </w:rPr>
              <w:t>that describe analytical method</w:t>
            </w:r>
            <w:r w:rsidR="00113345">
              <w:rPr>
                <w:sz w:val="18"/>
                <w:szCs w:val="18"/>
              </w:rPr>
              <w:t>s</w:t>
            </w:r>
            <w:r w:rsidR="00D53240" w:rsidRPr="00904C80">
              <w:rPr>
                <w:sz w:val="18"/>
                <w:szCs w:val="18"/>
              </w:rPr>
              <w:t xml:space="preserve"> and detection limits. Indicate </w:t>
            </w:r>
            <w:r w:rsidR="008629F7" w:rsidRPr="00904C80">
              <w:rPr>
                <w:sz w:val="18"/>
                <w:szCs w:val="18"/>
              </w:rPr>
              <w:t xml:space="preserve">file name and </w:t>
            </w:r>
            <w:r w:rsidR="00474D5B" w:rsidRPr="00904C80">
              <w:rPr>
                <w:sz w:val="18"/>
                <w:szCs w:val="18"/>
              </w:rPr>
              <w:t>locat</w:t>
            </w:r>
            <w:r w:rsidR="008629F7" w:rsidRPr="00904C80">
              <w:rPr>
                <w:sz w:val="18"/>
                <w:szCs w:val="18"/>
              </w:rPr>
              <w:t xml:space="preserve">ion in report </w:t>
            </w:r>
            <w:r w:rsidR="00D53240" w:rsidRPr="00904C80">
              <w:rPr>
                <w:sz w:val="18"/>
                <w:szCs w:val="18"/>
              </w:rPr>
              <w:t xml:space="preserve"> e.g. AppendixA2</w:t>
            </w:r>
            <w:r w:rsidR="00113345">
              <w:rPr>
                <w:sz w:val="18"/>
                <w:szCs w:val="18"/>
              </w:rPr>
              <w:t>.xls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E76F3A3" w14:textId="77777777" w:rsidR="00D53240" w:rsidRPr="00904C80" w:rsidRDefault="00D53240" w:rsidP="00D5324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different sample mass, addition of extra elements analyzed etc.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446DA4FB" w14:textId="77777777" w:rsidR="00D53240" w:rsidRDefault="00585A8E" w:rsidP="00D5324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i) </w:t>
            </w:r>
            <w:r w:rsidR="00D53240" w:rsidRPr="00904C80">
              <w:rPr>
                <w:sz w:val="18"/>
                <w:szCs w:val="18"/>
              </w:rPr>
              <w:t>distinguish between QA/QC from: a) the scientist, b) GSC Sed Lab</w:t>
            </w:r>
            <w:r w:rsidR="008629F7" w:rsidRPr="00904C80">
              <w:rPr>
                <w:sz w:val="18"/>
                <w:szCs w:val="18"/>
              </w:rPr>
              <w:t>,</w:t>
            </w:r>
            <w:r w:rsidR="00D53240" w:rsidRPr="00904C80">
              <w:rPr>
                <w:sz w:val="18"/>
                <w:szCs w:val="18"/>
              </w:rPr>
              <w:t xml:space="preserve"> and c) commercial analytical lab</w:t>
            </w:r>
          </w:p>
          <w:p w14:paraId="3D5F192F" w14:textId="77777777" w:rsidR="00585A8E" w:rsidRPr="00904C80" w:rsidRDefault="00585A8E" w:rsidP="00D5324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ii) state the name of the standard e.g. TILL4, qtzJ29623</w:t>
            </w:r>
          </w:p>
        </w:tc>
      </w:tr>
      <w:tr w:rsidR="00D53240" w14:paraId="31C642EA" w14:textId="77777777" w:rsidTr="00B3188A">
        <w:tc>
          <w:tcPr>
            <w:tcW w:w="3960" w:type="dxa"/>
          </w:tcPr>
          <w:p w14:paraId="720DCFEB" w14:textId="0AE53942" w:rsidR="00D53240" w:rsidRPr="00904C80" w:rsidRDefault="00BB3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INAA; Table 1 in body of report</w:t>
            </w:r>
          </w:p>
        </w:tc>
        <w:tc>
          <w:tcPr>
            <w:tcW w:w="4050" w:type="dxa"/>
            <w:shd w:val="clear" w:color="auto" w:fill="auto"/>
          </w:tcPr>
          <w:p w14:paraId="16EE590B" w14:textId="77777777" w:rsidR="001F4680" w:rsidRPr="00131F35" w:rsidRDefault="001F468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50DAB969" w14:textId="77777777" w:rsidR="00D53240" w:rsidRPr="00904C80" w:rsidRDefault="00D53240">
            <w:pPr>
              <w:rPr>
                <w:sz w:val="18"/>
                <w:szCs w:val="18"/>
              </w:rPr>
            </w:pPr>
          </w:p>
        </w:tc>
        <w:tc>
          <w:tcPr>
            <w:tcW w:w="3415" w:type="dxa"/>
          </w:tcPr>
          <w:p w14:paraId="7207D6BF" w14:textId="2F13B437" w:rsidR="00C068E0" w:rsidRPr="00EB4FC2" w:rsidRDefault="00EB4FC2" w:rsidP="00EB4FC2">
            <w:pPr>
              <w:rPr>
                <w:sz w:val="18"/>
                <w:szCs w:val="18"/>
              </w:rPr>
            </w:pPr>
            <w:r w:rsidRPr="00EB4FC2">
              <w:rPr>
                <w:sz w:val="18"/>
                <w:szCs w:val="18"/>
              </w:rPr>
              <w:t>a) STSD-1, STSD-4</w:t>
            </w:r>
          </w:p>
        </w:tc>
      </w:tr>
      <w:tr w:rsidR="001116F1" w:rsidRPr="00BB3C7A" w14:paraId="6AC94A79" w14:textId="77777777" w:rsidTr="00B3188A">
        <w:tc>
          <w:tcPr>
            <w:tcW w:w="3960" w:type="dxa"/>
          </w:tcPr>
          <w:p w14:paraId="1E01E9A5" w14:textId="0B0B5D37" w:rsidR="001116F1" w:rsidRPr="00BB3C7A" w:rsidRDefault="00BB3C7A">
            <w:pPr>
              <w:rPr>
                <w:sz w:val="18"/>
                <w:szCs w:val="18"/>
              </w:rPr>
            </w:pPr>
            <w:r w:rsidRPr="00BB3C7A">
              <w:rPr>
                <w:sz w:val="18"/>
                <w:szCs w:val="18"/>
              </w:rPr>
              <w:t>FA, LECO, ICP-MS, LOI; Table 2 in body of report</w:t>
            </w:r>
          </w:p>
        </w:tc>
        <w:tc>
          <w:tcPr>
            <w:tcW w:w="4050" w:type="dxa"/>
          </w:tcPr>
          <w:p w14:paraId="4A6D223A" w14:textId="051893D8" w:rsidR="001116F1" w:rsidRPr="00BB3C7A" w:rsidRDefault="000E6F6D">
            <w:pPr>
              <w:rPr>
                <w:sz w:val="18"/>
                <w:szCs w:val="18"/>
              </w:rPr>
            </w:pPr>
            <w:hyperlink r:id="rId6" w:history="1">
              <w:r w:rsidR="0099184D" w:rsidRPr="0099184D">
                <w:rPr>
                  <w:color w:val="0000FF"/>
                  <w:u w:val="single"/>
                </w:rPr>
                <w:t>http://acmelab.com/services/downloads/</w:t>
              </w:r>
            </w:hyperlink>
          </w:p>
        </w:tc>
        <w:tc>
          <w:tcPr>
            <w:tcW w:w="2700" w:type="dxa"/>
          </w:tcPr>
          <w:p w14:paraId="57C6E941" w14:textId="77777777" w:rsidR="001116F1" w:rsidRPr="00BB3C7A" w:rsidRDefault="001116F1">
            <w:pPr>
              <w:rPr>
                <w:sz w:val="18"/>
                <w:szCs w:val="18"/>
              </w:rPr>
            </w:pPr>
          </w:p>
        </w:tc>
        <w:tc>
          <w:tcPr>
            <w:tcW w:w="3415" w:type="dxa"/>
          </w:tcPr>
          <w:p w14:paraId="5CAA8F37" w14:textId="527B2AE1" w:rsidR="00EB4FC2" w:rsidRPr="00EB4FC2" w:rsidRDefault="00EB4FC2" w:rsidP="00EB4FC2">
            <w:pPr>
              <w:rPr>
                <w:sz w:val="18"/>
                <w:szCs w:val="18"/>
              </w:rPr>
            </w:pPr>
            <w:r w:rsidRPr="00EB4FC2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STSD-1, STSD-4</w:t>
            </w:r>
          </w:p>
          <w:p w14:paraId="16450C3F" w14:textId="77777777" w:rsidR="00EB4FC2" w:rsidRPr="00EB4FC2" w:rsidRDefault="00EB4FC2" w:rsidP="00EB4FC2">
            <w:pPr>
              <w:rPr>
                <w:sz w:val="18"/>
                <w:szCs w:val="18"/>
              </w:rPr>
            </w:pPr>
            <w:r w:rsidRPr="00EB4FC2">
              <w:rPr>
                <w:sz w:val="18"/>
                <w:szCs w:val="18"/>
              </w:rPr>
              <w:t>b)</w:t>
            </w:r>
          </w:p>
          <w:p w14:paraId="04EF48D2" w14:textId="71F38980" w:rsidR="001116F1" w:rsidRPr="00BB3C7A" w:rsidRDefault="00EB4FC2" w:rsidP="00EB4FC2">
            <w:pPr>
              <w:rPr>
                <w:sz w:val="18"/>
                <w:szCs w:val="18"/>
              </w:rPr>
            </w:pPr>
            <w:r w:rsidRPr="00EB4FC2">
              <w:rPr>
                <w:sz w:val="18"/>
                <w:szCs w:val="18"/>
              </w:rPr>
              <w:t>c) STD GS311-1, STD GS910-4, STD DOLOMITE-3, STD CDN-PGMS-19, STD OREAS45EA, STD DS11</w:t>
            </w:r>
          </w:p>
        </w:tc>
      </w:tr>
    </w:tbl>
    <w:p w14:paraId="3470334C" w14:textId="77777777" w:rsidR="000222E0" w:rsidRPr="00BB3C7A" w:rsidRDefault="000222E0" w:rsidP="004F5FDF">
      <w:pPr>
        <w:pStyle w:val="Heading1"/>
      </w:pPr>
    </w:p>
    <w:sectPr w:rsidR="000222E0" w:rsidRPr="00BB3C7A" w:rsidSect="00B3188A">
      <w:pgSz w:w="15840" w:h="12240" w:orient="landscape" w:code="1"/>
      <w:pgMar w:top="1008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290"/>
    <w:multiLevelType w:val="hybridMultilevel"/>
    <w:tmpl w:val="0D46986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00E04"/>
    <w:multiLevelType w:val="hybridMultilevel"/>
    <w:tmpl w:val="654ED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42"/>
    <w:rsid w:val="00016E20"/>
    <w:rsid w:val="000222E0"/>
    <w:rsid w:val="00027E9F"/>
    <w:rsid w:val="0003194D"/>
    <w:rsid w:val="00064100"/>
    <w:rsid w:val="0006641D"/>
    <w:rsid w:val="0009706E"/>
    <w:rsid w:val="000C2E5E"/>
    <w:rsid w:val="000C496E"/>
    <w:rsid w:val="000E0205"/>
    <w:rsid w:val="000E076D"/>
    <w:rsid w:val="000E4A77"/>
    <w:rsid w:val="000E6F6D"/>
    <w:rsid w:val="000F5EE6"/>
    <w:rsid w:val="000F746D"/>
    <w:rsid w:val="001111DD"/>
    <w:rsid w:val="001116F1"/>
    <w:rsid w:val="00112E82"/>
    <w:rsid w:val="00113345"/>
    <w:rsid w:val="00131F35"/>
    <w:rsid w:val="00146BE5"/>
    <w:rsid w:val="001730A5"/>
    <w:rsid w:val="001C076C"/>
    <w:rsid w:val="001D743C"/>
    <w:rsid w:val="001F4680"/>
    <w:rsid w:val="00227AC3"/>
    <w:rsid w:val="00237216"/>
    <w:rsid w:val="00252B4E"/>
    <w:rsid w:val="00260296"/>
    <w:rsid w:val="002F7414"/>
    <w:rsid w:val="00300B53"/>
    <w:rsid w:val="0034647F"/>
    <w:rsid w:val="003469F0"/>
    <w:rsid w:val="00385BD2"/>
    <w:rsid w:val="003B3676"/>
    <w:rsid w:val="00427485"/>
    <w:rsid w:val="00443FCE"/>
    <w:rsid w:val="00451389"/>
    <w:rsid w:val="00460F6A"/>
    <w:rsid w:val="0047333F"/>
    <w:rsid w:val="00474D5B"/>
    <w:rsid w:val="004808AA"/>
    <w:rsid w:val="00494377"/>
    <w:rsid w:val="004A6212"/>
    <w:rsid w:val="004B1575"/>
    <w:rsid w:val="004D7C49"/>
    <w:rsid w:val="004F44B0"/>
    <w:rsid w:val="004F5FDF"/>
    <w:rsid w:val="00513150"/>
    <w:rsid w:val="00533B0D"/>
    <w:rsid w:val="00535F91"/>
    <w:rsid w:val="00536ED6"/>
    <w:rsid w:val="0054026D"/>
    <w:rsid w:val="00560895"/>
    <w:rsid w:val="0057096F"/>
    <w:rsid w:val="00582A47"/>
    <w:rsid w:val="00585A8E"/>
    <w:rsid w:val="005B1773"/>
    <w:rsid w:val="005D70E7"/>
    <w:rsid w:val="00622A23"/>
    <w:rsid w:val="00651722"/>
    <w:rsid w:val="0066487E"/>
    <w:rsid w:val="00693BE1"/>
    <w:rsid w:val="006B6621"/>
    <w:rsid w:val="006C1323"/>
    <w:rsid w:val="00732DD5"/>
    <w:rsid w:val="00736218"/>
    <w:rsid w:val="0073722A"/>
    <w:rsid w:val="00740493"/>
    <w:rsid w:val="007702BD"/>
    <w:rsid w:val="007878B6"/>
    <w:rsid w:val="007C50C6"/>
    <w:rsid w:val="007E26D2"/>
    <w:rsid w:val="008136ED"/>
    <w:rsid w:val="00833447"/>
    <w:rsid w:val="008629F7"/>
    <w:rsid w:val="00875BFD"/>
    <w:rsid w:val="008E08A4"/>
    <w:rsid w:val="008E6D2C"/>
    <w:rsid w:val="008E6E9C"/>
    <w:rsid w:val="00904C80"/>
    <w:rsid w:val="009058DB"/>
    <w:rsid w:val="00951710"/>
    <w:rsid w:val="00987651"/>
    <w:rsid w:val="0099184D"/>
    <w:rsid w:val="009A45B4"/>
    <w:rsid w:val="009F1BEF"/>
    <w:rsid w:val="00A47CC0"/>
    <w:rsid w:val="00B3188A"/>
    <w:rsid w:val="00B711A0"/>
    <w:rsid w:val="00B95CF6"/>
    <w:rsid w:val="00BB081F"/>
    <w:rsid w:val="00BB3C7A"/>
    <w:rsid w:val="00BC055B"/>
    <w:rsid w:val="00BC5894"/>
    <w:rsid w:val="00BF1D17"/>
    <w:rsid w:val="00C068E0"/>
    <w:rsid w:val="00C755F7"/>
    <w:rsid w:val="00C821CF"/>
    <w:rsid w:val="00C85B94"/>
    <w:rsid w:val="00CA19DF"/>
    <w:rsid w:val="00CA39B1"/>
    <w:rsid w:val="00CB3A33"/>
    <w:rsid w:val="00D53240"/>
    <w:rsid w:val="00D62E7D"/>
    <w:rsid w:val="00D855E2"/>
    <w:rsid w:val="00D90BB0"/>
    <w:rsid w:val="00DB67B1"/>
    <w:rsid w:val="00DC4C42"/>
    <w:rsid w:val="00DC5EB0"/>
    <w:rsid w:val="00E9781D"/>
    <w:rsid w:val="00EB0DA1"/>
    <w:rsid w:val="00EB4FC2"/>
    <w:rsid w:val="00ED7ABE"/>
    <w:rsid w:val="00EE4412"/>
    <w:rsid w:val="00EF5B46"/>
    <w:rsid w:val="00F06D0E"/>
    <w:rsid w:val="00F1039D"/>
    <w:rsid w:val="00F2019B"/>
    <w:rsid w:val="00F34E82"/>
    <w:rsid w:val="00F576BB"/>
    <w:rsid w:val="00F864C8"/>
    <w:rsid w:val="00FB42C2"/>
    <w:rsid w:val="00FC06F7"/>
    <w:rsid w:val="00FC4A44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A5B51"/>
  <w15:docId w15:val="{B16A54B2-46FD-4EE4-9077-8FEAF00F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C3"/>
  </w:style>
  <w:style w:type="paragraph" w:styleId="Heading1">
    <w:name w:val="heading 1"/>
    <w:basedOn w:val="Normal"/>
    <w:next w:val="Normal"/>
    <w:link w:val="Heading1Char"/>
    <w:uiPriority w:val="9"/>
    <w:qFormat/>
    <w:rsid w:val="00533B0D"/>
    <w:pPr>
      <w:keepNext/>
      <w:keepLines/>
      <w:spacing w:before="120" w:after="12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BEF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6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3B0D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1BEF"/>
    <w:rPr>
      <w:rFonts w:ascii="Arial" w:eastAsiaTheme="majorEastAsia" w:hAnsi="Arial" w:cstheme="majorBidi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F46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6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4680"/>
    <w:pPr>
      <w:ind w:left="720"/>
      <w:contextualSpacing/>
    </w:pPr>
  </w:style>
  <w:style w:type="paragraph" w:styleId="Revision">
    <w:name w:val="Revision"/>
    <w:hidden/>
    <w:uiPriority w:val="99"/>
    <w:semiHidden/>
    <w:rsid w:val="00113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cmelab.com/services/downloa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9847-7D7F-4643-B385-EFF133B9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/ RNCan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Spirito, Wendy</dc:creator>
  <cp:keywords/>
  <dc:description/>
  <cp:lastModifiedBy>Beth McClenaghan</cp:lastModifiedBy>
  <cp:revision>7</cp:revision>
  <cp:lastPrinted>2019-03-21T15:21:00Z</cp:lastPrinted>
  <dcterms:created xsi:type="dcterms:W3CDTF">2019-09-12T18:09:00Z</dcterms:created>
  <dcterms:modified xsi:type="dcterms:W3CDTF">2021-04-12T14:31:00Z</dcterms:modified>
</cp:coreProperties>
</file>